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874/2022 vom 15. November 2022</w:t>
      </w:r>
    </w:p>
    <w:p>
      <w:r>
        <w:t>Bundesgericht, 2022-11-15, DE</w:t>
      </w:r>
    </w:p>
    <w:p>
      <w:r>
        <w:rPr>
          <w:b/>
        </w:rPr>
        <w:t xml:space="preserve">Quelle: </w:t>
      </w:r>
      <w:r>
        <w:t>https://mcp.opencaselaw.ch/entscheid/bger_5A_874_2022</w:t>
      </w:r>
    </w:p>
    <w:p>
      <w:r>
        <w:t>FR: TF 5A 874/2022 du 15 novembre 2022</w:t>
      </w:r>
    </w:p>
    <w:p>
      <w:r>
        <w:t>IT: TF 5A 874/2022 del 15 novembre 2022</w:t>
      </w:r>
    </w:p>
    <w:p>
      <w:pPr>
        <w:pStyle w:val="Heading2"/>
      </w:pPr>
      <w:r>
        <w:t>Regeste</w:t>
      </w:r>
    </w:p>
    <w:p>
      <w:r>
        <w:t>Pfändungsankündigung | Schuldbetreibungs- und Konkursrecht</w:t>
      </w:r>
    </w:p>
    <w:p>
      <w:pPr>
        <w:pStyle w:val="Heading2"/>
      </w:pPr>
      <w:r>
        <w:t>Erwägungen</w:t>
      </w:r>
    </w:p>
    <w:p>
      <w:r>
        <w:rPr>
          <w:b/>
        </w:rPr>
        <w:t>E. 1</w:t>
      </w:r>
    </w:p>
    <w:p>
      <w:r>
        <w:t>Die Vorinstanz ist auf das Rechtsmittel der Beschwerdeführer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besteht aus Polemik und strafrechtlichen Vorwürfen. Eine sachbezogene und konkret auf die Erwägungen des angefochtenen Entscheides bezugnehmende Beschwerdebegründung, aus welcher sich auch nur ansatzweise eine Rechtsverletzung im Zusammenhang mit den Nichteintretenserwägungen ergeben würde, lässt sich nicht ausmachen.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den Beschwerdeführern unter solidarischer Haftbarkeit aufzuerlegen ( Art. 66 Abs. 1 und 5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