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874/2021 vom 13. Mai 2022</w:t>
      </w:r>
    </w:p>
    <w:p>
      <w:r>
        <w:t>Bundesgericht, 2022-05-13, FR</w:t>
      </w:r>
    </w:p>
    <w:p>
      <w:r>
        <w:rPr>
          <w:b/>
        </w:rPr>
        <w:t xml:space="preserve">Quelle: </w:t>
      </w:r>
      <w:r>
        <w:t>https://mcp.opencaselaw.ch/entscheid/bger_5A_874_2021</w:t>
      </w:r>
    </w:p>
    <w:p>
      <w:r>
        <w:t>FR: TF 5A 874/2021 du 13 mai 2022</w:t>
      </w:r>
    </w:p>
    <w:p>
      <w:r>
        <w:t>IT: TF 5A 874/2021 del 13 maggio 2022</w:t>
      </w:r>
    </w:p>
    <w:p>
      <w:pPr>
        <w:pStyle w:val="Heading2"/>
      </w:pPr>
      <w:r>
        <w:t>Regeste</w:t>
      </w:r>
    </w:p>
    <w:p>
      <w:r>
        <w:t>droit de visite (enfant de parents non mariés) | Droit de la famille</w:t>
      </w:r>
    </w:p>
    <w:p>
      <w:pPr>
        <w:pStyle w:val="Heading2"/>
      </w:pPr>
      <w:r>
        <w:t>Erwägungen</w:t>
      </w:r>
    </w:p>
    <w:p>
      <w:r>
        <w:rPr>
          <w:b/>
        </w:rPr>
        <w:t>E. 1</w:t>
      </w:r>
    </w:p>
    <w:p>
      <w:r>
        <w:t>Interjeté en temps utile ( art. 100 al. 1 LTF ) et en la forme prévue par la loi ( art. 42 al. 1 LTF ), le recours est dirigé contre une décision finale ( art. 90 LTF ), prise par un tribunal supérieur statuant sur recours en dernière instance cantonale ( art. 75 al. 1 et 2 LTF ), dans une affaire de nature non pécuniaire sujette au recours en matière civile ( art. 72 al. 1 LTF ). Le recourant, qui a succombé devant la juridiction précédente, a qualité pour recourir ( art. 76 al. 1 LTF ). Le présent recours est donc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("principe d'allégation", art. 106 al. 2 LTF ; ATF 143 IV 500 consid. 1.1;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et si la correction du vice est susceptible d'influer sur le sort de la cause ( art. 97 al. 1 LTF ). Le recourant qui soutient que les faits ont été établis d'une manière manifestement inexacte, c'est-à-dire arbitraire au sens de l' art. 9 Cst. ( ATF 143 I 310 consid. 2.2; 140 III 264 consid. 2.3), doit satisfaire au principe d'allégation susmentionné (cf. supra consid. 2.1). Une critique des faits qui ne satisfait pas à cette exigence est irrecevable ( ATF 141 IV 249 consid. 1.3.1 et la référence). Dans la partie "En fait" de son écriture, le recourant procède à une description des faits de la cause. Celle-ci ne peut être prise en considération en tant qu'elle s'écarte des constatations de la décision entreprise et que le recourant ne démontre pas, de manière conforme au principe d'allégation, qu'ils auraient été arbitrairement établis.</w:t>
      </w:r>
    </w:p>
    <w:p>
      <w:r>
        <w:rPr>
          <w:b/>
        </w:rPr>
        <w:t>E. 3</w:t>
      </w:r>
    </w:p>
    <w:p>
      <w:r>
        <w:t>Sous l'intitulé "De l'établissement arbitraire ou incomplet des faits", le recourant reproche à la cour cantonale d'avoir non seulement retenu qu'il souffrait d'un problème d'alcool et de stupéfiants, mais encore, qu'il cherchait à le cacher où, à tout le moins, à le minimiser.</w:t>
      </w:r>
    </w:p>
    <w:p>
      <w:r>
        <w:rPr>
          <w:b/>
        </w:rPr>
        <w:t>E. 3.1</w:t>
      </w:r>
    </w:p>
    <w:p>
      <w:r>
        <w:t>Affirmant d'abord contester le diagnostic posé en ce sens par les expertes, il soutient que, contrairement aux constatations lacunaires de l'autorité précédente, il ne s'est pas contenté de suivre un traitement psychothérapeutique du 2 octobre au 25 novembre 2020, mais qu'il s'est librement et spontanément soumis, durant cette période, à des examens toxicologiques réguliers (tests urinaires et sanguins), sous la supervision d'un psychiatre spécialisé en addictologie. Or, bien que les résultats de ces tests effectués pendant près de deux mois aient été annexés à l'attestation dudit médecin, produite lors de l'audience du 1er décembre 2020, la Chambre de surveillance les auraient ignorés, ce qui serait d'autant plus choquant que les conclusions de l'expertise ne reposent que sur un seul examen toxicologique. Il en résulterait que, sans le mentionner expressément, l'autorité cantonale aurait écarté de son raisonnement l'attestation susvisée, selon laquelle il ne souffre pas de troubles mentaux et du comportement liés à la consommation d'alcool ou de cocaïne.</w:t>
      </w:r>
    </w:p>
    <w:p>
      <w:r>
        <w:rPr>
          <w:b/>
        </w:rPr>
        <w:t>E. 3.2</w:t>
      </w:r>
    </w:p>
    <w:p>
      <w:r>
        <w:t>Contrairement à ce que prétend le recourant, les juges précédents n'ont pas manqué de retenir, dans la partie en fait de leur arrêt, que selon les constatations du Tribunal de protection, le père avait consenti à se plier à "un travail thérapeutique personnel et addictologique, assorti de tests toxicologiques". Ils ont également constaté que l'intéressé avait produit une attestation de son psychiatre, selon laquelle il "ne répondait pas aux critères diagnostics des troubles mentaux et du comportement liés à la consommation d'alcool ou de cocaïne". L'absence de tels troubles ne signifie cependant pas encore que l'autorité cantonale aurait arbitrairement ou incomplètement établi les faits en admettant, sur la base de l'analyse toxicologique effectuée dans le cadre de l'expertise le 4 août 2020, que le père de l'enfant consommait de la cocaïne, l'affirmation de celui-ci selon laquelle il s'était agi d'une seule prise lors d'une soirée chez des amis étant, selon les expertes, incompatible avec les résultats obtenus. Le recourant ne démontre en outre pas en quoi il était insoutenable de retenir que, toujours selon les expertes, il avait d'abord tenté de leur dissimuler sa consommation d'alcool et de cocaïne. Autant qu'il est suffisamment motivé ( art. 106 al. 2 LTF ), le grief d'arbitraire dans l'établissement des faits apparaît ainsi infondé.</w:t>
      </w:r>
    </w:p>
    <w:p>
      <w:r>
        <w:rPr>
          <w:b/>
        </w:rPr>
        <w:t>E. 4</w:t>
      </w:r>
    </w:p>
    <w:p>
      <w:r>
        <w:t>Le recourant se plaint en outre d'un abus du pouvoir d'appréciation dans l'application des art. 173 et 174 CC (sic), ainsi que d'un résultat manifestement injuste.</w:t>
      </w:r>
    </w:p>
    <w:p>
      <w:r>
        <w:rPr>
          <w:b/>
        </w:rPr>
        <w:t>E. 4.1.1</w:t>
      </w:r>
    </w:p>
    <w:p>
      <w:r>
        <w:t>Aux termes de l' art. 273 al. 1 CC ,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 ATF 142 III 617 consid. 3.2.3; 141 III 328 consid. 5.4; 131 III 209 consid. 5; arrêt 5A_654/2019 du 14 mai 2020 consid. 3.1 et les références). Si les relations personnelles compromettent le développement de l'enfant, le droit d'entretenir ces relations peut être retiré ou refusé en tant qu'ultima ratio ( art. 274 al. 2 CC ; arrêt 5A_699/2021 du 21 décembre 2021 consid. 6.1 et la jurisprudence citée). Si le préjudice engendré pour l'enfant par les relations personnelles peut être limité par la mise en oeuvre d'un droit de visite surveillé ou accompagné, le droit de la personnalité du parent concerné, le principe de la proportionnalité, mais également le sens et le but des relations personnelles, interdisent la suppression complète du droit auxdites relations ( ATF 122 III 404 consid. 3c; arrêt 5A_68/2020 du 2 septembre 2020 consid. 3.2);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(arrêts 5A_962/2018 du 2 mai 2019 consid. 5.2.2; 5A_478/2018 du 10 août 2018 consid. 5.2.2 et la jurisprudence citée). L'établissement d'un droit de visite surveillé nécessite, comme le retrait ou le refus du droit aux relations personnelles selon l' art. 274 CC , des indices concrets de mise en danger du bien de l'enfant. Il ne suffit pas que celui-ci risque abstraitement de subir une mauvaise influence pour qu'un droit de visite surveillé soit instauré; il convient dès lors de faire preuve d'une certaine retenue lors du choix de cette mesure. Il en va de même en cas de retrait du droit aux vacances ( ATF 122 III 404 consid. 3c; arrêts 5A_68/2020 du 2 septembre 2020 consid. 3.2; 5A_654/2019 du 14 mai 2020 consid. 3.1; 5A_191/2018 du 7 août 2018 consid. 6.2.2.1 et les références).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(arrêts 5A_191/2018 du 7 août 2018 consid. 6.2.2.1; 5A_618/2017 du 2 février 2018 consid. 4.2; 5A_184/2017 du 9 juin 2017 consid. 4.1 et les références). L'appréciation des circonstances de fait pour fixer le droit aux relations personnelles, c'est-à-dire la détermination de leur portée juridique, est une question de droit soumise à l'appréciation du juge ( art. 4 CC ; ATF 131 III 209 consid. 3; 120 II 229 consid. 4a; arrêts 5A_842/2020 du 14 octobre 2021 consid. 5.1; 5A_489/2019 du 24 août 2020 consid. 5.1 et la jurisprudence citée).</w:t>
      </w:r>
    </w:p>
    <w:p>
      <w:r>
        <w:rPr>
          <w:b/>
        </w:rPr>
        <w:t>E. 4.1.2</w:t>
      </w:r>
    </w:p>
    <w:p>
      <w:r>
        <w:t>Saisi de questions relatives aux enfants, le juge peut ordonner une expertise. Comme pour tout moyen de preuve, il en apprécie librement la force probante ( art. 157 CPC ). Il n'est en principe pas lié par ses conclusions, qu'il doit apprécier en tenant compte de l'ensemble des autres preuves administrées. Dans le domaine des connaissances professionnelles particulières de l'expert, il ne peut toutefois s'en écarter que lorsque des circonstances ou des indices importants et bien établis en ébranlent sérieusement la crédibilité; il doit alors motiver sa décision à cet égard ( ATF 142 IV 49 consid. 2.1.3 et la référence; arrêts 6B_66/2022 du 19 avril 2022 consid. 3.4.6.1; 5A_551/2021 du 7 décembre 2021 consid. 4.2.1; 5A_727/2020 du 31 mars 2021 consid. 5.2). Savoir si une expertise est convaincante ou non est une question d'appréciation des preuves, que le Tribunal fédéral ne revoit que sous l'angle de l'arbitraire ( ATF 141 IV 369 consid. 6.1; notamment: arrêts 1B_559/2021 du 17 janvier 2022 consid. 3.3; 4A_22/2013 du 31 juillet 2013 consid. 2.2).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que, même sans connaissances spécifiques, il n'était tout simplement pas possible de les ignorer. Il n'appartient pas au Tribunal fédéral de vérifier si toutes les affirmations de l'expert sont exemptes d'arbitraire; sa tâche se limite à examiner si l'autorité précédente pouvait, sans arbitraire, se rallier aux conclusions de l'expertise ( ATF 138 III 193 consid. 4.3.1; 136 II 539 consid. 3.2; arrêts 6B_66/2022 du 19 avril 2022 consid. 3.4.6.1; 4A_645/2020 du 4 février 2022 consid. 5.1; 5A_699/2021 du 21 décembre 2021 consid. 4.1; 5A_131/2021 du 10 septembre 2021 consid. 4.2.3 et les références). Il revient au seul juge, et non à l'expert, de tirer les conséquences juridiques d'une expertise, en particulier s'agissant du sort des enfants (arrêts 5A_494/2021 du 17 mars 2022 consid. 4.2; 5A_415/2020 du 18 mars 2021 consid. 4.1; 5P.206/2006 du 29 septembre 2006 consid. 3.2; cf. HOHL, Procédure civile, Tome I, 2e éd. 2016, n° 1789 p. 295).</w:t>
      </w:r>
    </w:p>
    <w:p>
      <w:r>
        <w:rPr>
          <w:b/>
        </w:rPr>
        <w:t>E. 4.2</w:t>
      </w:r>
    </w:p>
    <w:p>
      <w:r>
        <w:t>En l'espèce, la cour cantonale a considéré que le rapport d'expertise, de plus de soixante pages, apparaissait particulièrement approfondi et détaillé; les expertes avaient en outre été longuement entendues par l'autorité de première instance et avaient fourni des explications complémentaires. Concernant les modalités du droit de visite, elles avaient émis un certain nombre de recommandations, dont le Tribunal de protection ne pouvait s'écarter que si des objections sérieuses étaient venues ébranler le caractère concluant de l'expertise, ce qui, contrairement à l'opinion des premiers juges, n'était cependant pas le cas. Les expertes avaient en effet expliqué que le père peinait à poser un cadre à son fils, en particulier à propos de ce qui était admissible ou non en matière d'intimité. Bien que la procédure pénale ouverte à son encontre eût été classée, l'expertise de crédibilité du 23 janvier 2019 retenait qu'il avait accepté que son fils touche son sexe à une reprise, comportement considéré par les auteurs de ce rapport comme inadéquat en terme d'éducation à la sexualité. L'enfant avait certes intégré des limites à ce sujet, notamment à l'école, mais pas lorsqu'il se trouvait avec son père, raison pour laquelle les expertes préconisaient, en l'état, un droit de visite limité, sans les nuits, afin d'éviter les moments d'intimité, avec un élargissement possible en fonction des progrès du père sur les différents points discutables relevés à son sujet. A ce premier ensemble de questions, qui n'avaient pas été prises en considération par le Tribunal de protection, s'ajoutait celle, révélée par l'expertise familiale, de la consommation d'alcool et de cocaïne par le père, consommation que celui-ci avait tenté de dissimuler aux expertes et, par voie de conséquence, aux premiers juges. Un tel comportement interpellait et justifiait d'autant plus de ne pas élargir son droit de visite avant de s'être assuré qu'il était effectivement suivi sur le plan thérapeutique et en mesure de gérer pendant plusieurs jours de suite un enfant encore jeune. A nouveau, le Tribunal de protection n'avait tenu aucun compte de ces éléments, considérant, sur la seule base des rapports du Point Rencontre et du fait que les professionnels entourant l'enfant n'avaient pas exprimé d'inquiétude particulière, qu'il pouvait s'écarter des conclusions de l'expertise. Ces éléments n'étaient cependant pas suffisants pour faire fi desdites conclusions, lesquelles avaient été prises, encore une fois, après un examen global et approfondi de la situation, alors que le Point Rencontre et les professionnels concernés n'avaient qu'une vision partielle de celle-ci. Le droit de visite du père serait donc fixé conformément aux conclusions de l'expertise et des dernières recommandations du SPMi.</w:t>
      </w:r>
    </w:p>
    <w:p>
      <w:r>
        <w:rPr>
          <w:b/>
        </w:rPr>
        <w:t>E. 4.3</w:t>
      </w:r>
    </w:p>
    <w:p>
      <w:r>
        <w:t>Le recourant ne prétend pas, de manière motivée, que l'expertise serait entachée de l'un des défauts énumérés précédemment (cf. supra consid. 4.1.2). Son argumentation consiste principalement à reprocher à la cour cantonale de s'en être remise aux conclusions de l'expertise en omettant de prendre en compte de nombreux éléments déterminants, à savoir que l'enfant va bien, qu'il a du plaisir à le rencontrer, ainsi que ses demi-soeurs, que le psychiatre qui le suit ne voit aucun obstacle à la fixation d'un droit de visite usuel et que tous les professionnels entourant le mineur insistent sur le plaisir qu'il a à être avec son père, n'émettant aucune remarque négative. Il affirme en outre que, contrairement à ce que retiennent les expertes, il ne souffre d'aucun trouble mental et du comportement lié à une consommation d'alcool ou de cocaïne, qu'il est disposé à se soumettre à des tests inopinés et qu'ayant pris connaissance du rapport d'expertise, il est "conscient des erreurs qu'il a peut-être commises par le passé et des difficultés qui lui sont imputées à poser un cadre et des limites claires à son fils". Selon lui, le Tribunal de protection, qui suit la situation de l'enfant depuis de nombreuses années, a correctement pesé les intérêts en présence, bien qu'il ne les ait pas tous repris dans sa subsomption. Au contraire de cette autorité, la Chambre de surveillance a procédé à un examen froid et impersonnel du dossier, lui laissant de surcroît la désagréable impression d'avoir été sanctionné en raison d'un manque de motivation de la décision initiale. Il rappelle en outre que la procédure pénale ouverte à son encontre a été classée. En se fondant uniquement sur les éléments à charge contre lui et en se fiant sans réserve ni retenue aux conclusions de l'expertise familiale, la cour cantonale serait ainsi parvenue à un résultat manifestement injuste, pour ne pas dire choquant, une expertise ne pouvait pas remplacer les juges. Ce faisant, le recourant se borne à opposer sa propre vision des faits, sans s'en prendre à l'expertise elle-même et établir ainsi son caractère prétendument arbitraire, étant précisé que son grief portant sur sa consommation d'alcool et de stupéfiants a déjà été rejeté, dans la mesure de sa recevabilité (cf. supra consid. 3). Dès lors qu'il n'a pas démontré en quoi les conclusions du rapport d'expertise seraient manifestement fausses, ni en quoi il serait arbitraire de s'y référer, son grief selon lequel l'autorité cantonale aurait abusé de son pouvoir d'appréciation en suivant les propositions de celui-ci est irrecevable, faute de motivation suffisante ( art. 42 al. 2 LTF ). En ce qui concerne la détermination de la portée juridique des circonstances de fait pour fixer les relations personnelles, en particulier du résultat de l'expertise, le recourant se limite en effet à opposer sa propre appréciation de la situation, sans expliquer en quoi la Chambre des recours aurait écarté, sans aucun motif, des critères essentiels pour la décision à rendre ou, à l'inverse, se serait fondée sur des éléments dépourvus d'importance au regard du bien de l'enfant ou contrevenant aux principes du droit fédéral (cf. ATF 131 III 209 consid. 3; 5A_842/2020 du 14 octobre 2021 consid. 5.1; 5A_699/2017 du 24 octobre 2017 consid. 5.1; 5A_184/2017 du 9 juin 2017 consid. 4.1 et les références). A cela s'ajoute qu'il ne discute pas la motivation de la cour cantonale fondée sur sa difficulté à poser des limites à son fils en matière d'intimité, l'allégation selon laquelle il aurait désormais pris conscience de ses éventuelles erreurs étant purement appellatoire, partant irrecevable. Dans ces circonstances, la Chambre de surveillance ne peut se voir reprocher d'avoir enfreint le droit fédéral en estimant qu'il se justifiait de prévoir un droit de visite restreint, voire surveillé, comme l'avait d'ailleurs préconisé le SPMi (cf. supra let. A.c), en précisant à juste titre qu'il appartiendrait aux curateurs de l'enfant, en fonction de l'évolution de la situation, de formuler auprès du Tribunal de protection des propositions d'élargissement dudit droit de visite.</w:t>
      </w:r>
    </w:p>
    <w:p>
      <w:r>
        <w:rPr>
          <w:b/>
        </w:rPr>
        <w:t>E. 5</w:t>
      </w:r>
    </w:p>
    <w:p>
      <w:r>
        <w:t>En définitive, le recours doit être rejeté, dans la mesure où il est recevable. Les frais judiciaires, arrêtés à 2'000 fr., sont mis à la charge du recourant, qui succombe ( art. 66 al. 1 LTF ). Aucune indemnité de dépens n'est octroyée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