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5A_874/2016 vom 26. April 2017</w:t>
      </w:r>
    </w:p>
    <w:p>
      <w:r>
        <w:t>Bundesgericht, 2017-04-26, FR</w:t>
      </w:r>
    </w:p>
    <w:p>
      <w:r>
        <w:rPr>
          <w:b/>
        </w:rPr>
        <w:t xml:space="preserve">Quelle: </w:t>
      </w:r>
      <w:r>
        <w:t>https://mcp.opencaselaw.ch/entscheid/bger_5A_874_2016</w:t>
      </w:r>
    </w:p>
    <w:p>
      <w:r>
        <w:t>FR: TF 5A_874/2016 du 26 avril 2017</w:t>
      </w:r>
    </w:p>
    <w:p>
      <w:r>
        <w:t>IT: TF 5A_874/2016 del 26 aprile 2017</w:t>
      </w:r>
    </w:p>
    <w:p>
      <w:pPr>
        <w:pStyle w:val="Heading2"/>
      </w:pPr>
      <w:r>
        <w:t>Erwägungen</w:t>
      </w:r>
    </w:p>
    <w:p>
      <w:r>
        <w:rPr>
          <w:b/>
        </w:rPr>
        <w:t>E. 1.1</w:t>
      </w:r>
    </w:p>
    <w:p>
      <w:r>
        <w:t>L'arrêt attaqué, qui porte sur la modification de mesures provisionnelles dans le cadre d'une procédure de divorce, est une décision finale ( art. 90 LTF ; ATF 134 III 426 consid. 2.2) rendue par un tribunal supérieur statuant sur recours en dernière instance cantonale ( art. 75 LTF ) dans une affaire civile ( art. 72 al. 1 LTF ), dont la valeur litigieuse atteint 30'000 fr. (art. 51 al. 1 let. a, 51 al. 4 première phr. et 74 al. 1 let. b LTF).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1.2</w:t>
      </w:r>
    </w:p>
    <w:p>
      <w:r>
        <w:t>Selon un principe général de procédure, les conclusions en constatation de droit ne sont recevables que lorsque des conclusions condamnatoires ou formatrices sont exclues ( ATF 141 II 113 consid. 1.7; 135 I 119 consid. 4). En conséquence, sa conclusion indépendante tendant à ce qu'il soit constaté que son revenu mensuel s'élève à 4'745 fr. est irrecevable, dès lors que la conclusion condamnatoire relative à la contribution d'entretien est recevable.</w:t>
      </w:r>
    </w:p>
    <w:p>
      <w:r>
        <w:rPr>
          <w:b/>
        </w:rPr>
        <w:t>E. 2.1</w:t>
      </w:r>
    </w:p>
    <w:p>
      <w:r>
        <w:t>Comme la décision entreprise porte sur des mesures provisionnelles au sens de l' art. 98 LTF ( ATF 133 III 393 consid. 5.1,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et les arrêts cités).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A l'instar du premier juge, la cour cantonale a retenu qu'en l'espèce, la situation financière de l'époux n'avait pas changé de manière essentielle et durable depuis le 1er janvier 2015.</w:t>
      </w:r>
    </w:p>
    <w:p>
      <w:r>
        <w:t>En 2014, dans le cadre de la dernière décision fixant la pension due pour l'entretien de sa famille, ses revenus mensuels s'élevaient à 13'800 fr. En 2015 et en 2016, il a perçu des rentes de retraite mensuelles de 4'786 fr. 25, respectivement 4'804 fr. 25. L'époux affirmait ne pas disposer d'autres revenus. Il ressortait cependant des relevés de ses comptes bancaires qu'il avait reçu tous les six mois un montant d'environ 50'000 fr. Il a justifié ces versements périodiques par un emprunt qu'il aurait contracté auprès de Swiss Life AG en raison de ses difficultés financières, respectivement par des " intérêts échus ". Toutefois, les documents auxquels il s'est référé - à savoir les pièces produites par Swiss Life AG en lien avec les contrats conclus avec lui - ne rendaient pas vraisemblables de tels emprunts (contrat de prêt, police n° xxx.xxx.xxx, portant sur 30'000 fr. [date de paiement: 13 septembre 2006), 40'000 fr. [date de paiement: 9 août 2007], 35'000 fr. [date de paiement: 5 février 2008] et 20'000 fr. [date de paiement: 14 juillet 2008]). D'une part, les prêts visés par ces contrats avaient été entièrement versés entre le 13 septembre 2006 et le 14 juillet 2008, d'autre part, lesdits contrats ne prévoyaient pas un montant de près de 150'000 fr., soit celui versé entre 2015 et 2016 (50'000 fr. le 8 mai 2015, 50'000 fr. le 5 octobre 2015 et 48'799 fr. 30 le 1er mars 2016 versés sous la mention " VIREMENT POSTAL SWISS LIFE AG - IAS ABTEILUNG IP [...] xxx.xxx.xxx "), mais de 125'000 fr. seulement. La cour cantonale a encore relevé que ces montants avaient été virés sur le compte commercial de la raison individuelle de l'époux, qui avait encore perçu 15'000 fr. en 2015 de la part de la Fondation E.________. Par conséquent, en 2015, ses revenus totalisaient à tout le moins 172'435 fr. (100'000 fr. de Swiss Life AG, 15'000 fr. de la Fondation E.________, et 57'435 fr. de rentes), correspondant à 14'370 fr. par mois, montant qui n'était pas inférieur aux revenus de 13'800 fr. retenus dans le cadre de la précédente décision.</w:t>
      </w:r>
    </w:p>
    <w:p>
      <w:r>
        <w:t>Au moment du dépôt de sa requête (9 mars 2016), l'époux avait déjà touché ses rentes de vieillesse (4'805 fr. par mois) ainsi que le montant de 48'799 fr. 30 de Swiss Life AG, de sorte que ses revenus ne s'étaient pas modifiés à cette date.</w:t>
      </w:r>
    </w:p>
    <w:p>
      <w:r>
        <w:t>En outre, il n'avait apporté aucun élément vraisemblable conduisant à remettre en cause le caractère périodique des versements de Swiss Life AG sur le compte de son entreprise. Ses revenus prévisibles pour 2016 étaient donc composés de 57'660 fr. de rentes et 100'000 fr. versés par Swiss Life AG, à savoir un total de 157'660 fr., correspondant à 13'138 fr. par mois, soit 660 fr. de moins que ce qui avait été retenu dans la dernière décision. Cette baisse de revenu n'était pas significative au regard de l'ensemble de sa situation financière, dès lors qu'il ne prétendait pas que ses charges élargies (6'877 fr.) auraient augmenté. Malgré la baisse de revenu précitée, il disposait encore chaque mois d'un montant disponible, après le paiement de la contribution d'entretien, de 6'030 fr. et la couverture de ses charges élargies. Au surplus, sa fortune mobilière lui permettrait vraisemblablement, pendant la durée de la procédure, de maintenir son niveau de vie. La cour cantonale a relevé que cette fortune avait subi une diminution qui ne s'expliquait pas par le maintien de son train de vie entre fin 2014 et avril 2016, puisqu'elle s'était réduite de près de 200'000 fr., sans qu'il n'ait apporté une explication vraisemblable à ce sujet.</w:t>
      </w:r>
    </w:p>
    <w:p>
      <w:r>
        <w:t>Vu ce qui précède, la question de la perception d'autres revenus, telle qu'alléguée par l'épouse, n'avait pas besoin d'être tranchée. En définitive, le changement de sa situation financière n'étant pas significatif, il n'y avait pas lieu d'entrer en matière sur la requête de modification des mesures provisionnelles.</w:t>
      </w:r>
    </w:p>
    <w:p>
      <w:r>
        <w:rPr>
          <w:b/>
        </w:rPr>
        <w:t>E. 4</w:t>
      </w:r>
    </w:p>
    <w:p>
      <w:r>
        <w:t>Le recourant affirme que l'autorité cantonale a établi les faits et appliqué la maxime inquisitoire ( art. 296 CPC ) de manière arbitraire ( art. 9 Cst. ).</w:t>
      </w:r>
    </w:p>
    <w:p>
      <w:r>
        <w:rPr>
          <w:b/>
        </w:rPr>
        <w:t>E. 4.1</w:t>
      </w:r>
    </w:p>
    <w:p>
      <w:r>
        <w:t>En vertu de l' art. 296 al. 1 CPC , la maxime inquisitoire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 ATF 128 III 411 consid. 3.2.1; arrêts 5A_61/2015 du 20 mai 2015 consid. 3.2.1.2; 5A_31/2014 du 11 juillet 2014 consid. 3.3; 5A_762/2013 du 27 mars 2014 consid. 4.1 et les références); de surcroît, le juge des mesures provisionnelles statue sur la base des justificatifs immédiatement disponibles (arrêt 5A_565/2016 du 16 février 2017 consid. 4.1.2 et les références).</w:t>
      </w:r>
    </w:p>
    <w:p>
      <w:r>
        <w:rPr>
          <w:b/>
        </w:rPr>
        <w:t>E. 4.2</w:t>
      </w:r>
    </w:p>
    <w:p>
      <w:r>
        <w:t>Le recourant conteste en particulier le caractère périodique des versements de Swiss Life AG, expliquant que ceux-ci ne constituent pas des revenus, mais découlent d'emprunts contractés auprès de cette société. S'il admet que ces emprunts n'ont pu être documentés ni en première instance ni devant la Cour de justice, ils les aurait néanmoins dûment allégués. Le numéro de police pertinent pour l'emprunt contracté le 1er avril 2014 serait le xxx.xxx.xxx. Dès lors que le premier juge avait requis production, en mains de Swiss Life AG, des relations contractuelles conclues entre le 4 décembre 1999 et le 21 février 2014, les pièces probantes ne figurent pas au dossier. Cependant, elles figureraient dans le dossier relatif à la procédure de divorce (pièce 45 du chargé de pièces complémentaire du 19 décembre 2014 et pièce 65 du chargé de pièces IV du 20 mars 2015). En outre, en retenant qu'il n'a apporté aucune explication vraisemblable s'agissant de la diminution de 200'000 fr. de sa fortune mobilière, l'autorité précédente n'aurait pas tenu compte des explications qu'il a fournies, à savoir qu'il a contracté des emprunts sur ses propres polices d'assurances, afin de pouvoir faire face à ses obligations alimentaires, partant, que la valeur desdites polices a été réduite d'autant, d'où une diminution de sa fortune mobilière. Selon le recourant, dans la mesure où les pièces propres à démontrer ses allégations se trouveraient dans le dossier de divorce, la Cour de justice, qui avait le devoir d'éclaircir les faits, aurait dû en tenir compte d'office. Subsidiairement, le recourant estime que si les éléments précités ne suffisaient pas à retenir une baisse de ses revenus, respectivement si la Cour de justice estimait ne pas avoir tous les éléments nécessaires pour fonder sa conviction, elle aurait dû ordonner les mesures d'instruction propres à faire la lumière sur ses revenus, c'est-à-dire demander la production d'éventuels justificatifs complémentaires.</w:t>
      </w:r>
    </w:p>
    <w:p>
      <w:r>
        <w:rPr>
          <w:b/>
        </w:rPr>
        <w:t>E. 4.3</w:t>
      </w:r>
    </w:p>
    <w:p>
      <w:r>
        <w:t>Par son argumentation, le recourant ne démontre pas que l'autorité précédente aurait arbitrairement établi le montant de ses revenus pour les années 2015 et 2016, partant, qu'il serait insoutenable de nier l'existence d'un changement significatif dans sa situation financière. Il ressort de l'arrêt entrepris que le Tribunal de première instance avait notamment fondé sa décision sur le fait que l'intimé avait perçu des montants non documentés de Swiss Life AG (cf. arrêt entrepris, p. 5 let. D). Dans son appel, celui-ci a exposé qu'il " suffisait néanmoins au Premier juge de se donner la peine de lire les pièces qui ont été adressées par Swiss Life, plutôt que de se borner à reprendre tel quel l'argumentation de la Citée. Elle y aurait ainsi constaté que (...) les pièces 4.6 et 4.7 " démontrent que les montants perçus ne constituent pas un revenu, mais résultent d'un emprunt. Il a ajouté qu'il " n'avait ainsi aucune pièce supplémentaire à donner " (appel p. 9-10). Or, comme l'a relevé à juste titre la cour cantonale, les pièces auxquelles il a renvoyé concernent des versements antérieurs à la période 2015-2016, de sorte qu'elles ne permettaient pas d'étayer ses allégations quant à la nature des montants que Swiss Life AG lui a versés en 2015 et 2016. Si la maxime inquisitoire est certes applicable en l'espèce vu la présence d'enfants mineurs ( art. 296 CPC ), cette maxime ne signifie pas que le juge doive recueillir d'office tous les éléments susceptibles d'influer sur la réglementation concernant les enfants (arrêt 5A_808/2012 du 29 août 2013 consid. 4.3.2). Le devoir de collaborer activement à la procédure imposait au recourant, qui était au demeurant assisté d'un mandataire professionnel, de rendre vraisemblables ses allégations en indiquant au juge les moyens de preuve disponibles (cf. supra consid. 4.2). Pour le surplus, le recourant ne prétend pas, ni a fortiori ne démontre, qu'il n'aurait pas été en mesure de le faire en temps utile. Vu ce qui précède, les explications du recourant relatives à la baisse de sa fortune mobilière, qui découlerait selon lui d'emprunts contractés auprès de Swiss Life AG, eussent-elles été fournies en appel, comme il le prétend dans le présent recours, n'étaient quoi qu'il en soit nullement étayées.</w:t>
      </w:r>
    </w:p>
    <w:p>
      <w:r>
        <w:rPr>
          <w:b/>
        </w:rPr>
        <w:t>E. 5</w:t>
      </w:r>
    </w:p>
    <w:p>
      <w:r>
        <w:t>En définitive, le recours doit être rejeté, aux frais du recourant ( art. 66 al. 1 LTF ). Il n'est pas alloué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