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873/2022 vom 23. Januar 2023</w:t>
      </w:r>
    </w:p>
    <w:p>
      <w:r>
        <w:t>Bundesgericht, 2023-01-23, DE</w:t>
      </w:r>
    </w:p>
    <w:p>
      <w:r>
        <w:rPr>
          <w:b/>
        </w:rPr>
        <w:t xml:space="preserve">Quelle: </w:t>
      </w:r>
      <w:r>
        <w:t>https://mcp.opencaselaw.ch/entscheid/bger_5A_873_2022</w:t>
      </w:r>
    </w:p>
    <w:p>
      <w:r>
        <w:t>FR: TF 5A 873/2022 du 23 janvier 2023</w:t>
      </w:r>
    </w:p>
    <w:p>
      <w:r>
        <w:t>IT: TF 5A 873/2022 del 23 gennaio 2023</w:t>
      </w:r>
    </w:p>
    <w:p>
      <w:pPr>
        <w:pStyle w:val="Heading2"/>
      </w:pPr>
      <w:r>
        <w:t>Regeste</w:t>
      </w:r>
    </w:p>
    <w:p>
      <w:r>
        <w:t>Pfändungsankündigung | Schuldbetreibungs- und Konkursrecht</w:t>
      </w:r>
    </w:p>
    <w:p>
      <w:pPr>
        <w:pStyle w:val="Heading2"/>
      </w:pPr>
      <w:r>
        <w:t>Erwägungen</w:t>
      </w:r>
    </w:p>
    <w:p>
      <w:r>
        <w:rPr>
          <w:b/>
        </w:rPr>
        <w:t>E. 1.1</w:t>
      </w:r>
    </w:p>
    <w:p>
      <w:r>
        <w:t>Gegen den angefochtenen Entscheid steht die Beschwerde in Zivilsachen zur Verfügung (Art. 72 Abs. 2 lit. a, Art. 74 Abs. 2 lit. c, Art. 75, Art. 76, Art. 90, Art. 100 Abs. 2 lit. a BGG ).</w:t>
      </w:r>
    </w:p>
    <w:p>
      <w:r>
        <w:rPr>
          <w:b/>
        </w:rPr>
        <w:t>E. 1.2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2.1</w:t>
      </w:r>
    </w:p>
    <w:p>
      <w:r>
        <w:t>Die Vorinstanz hat zur vom Beschwerdeführer monierten fehlenden Originalunterschrift auf der Pfändungsankündigung erwogen, es gehe aus der eingereichten Kopie nicht hervor, ob die Pfändungsankündigung eine eigenhändige Unterschrift trage oder nicht. Die fehlende eigenhändige Unterschrift führe indes nicht zur Unwirksamkeit der Pfändungsankündigung. Die qualifizierte elektronische Signatur gemäss Bundesgesetz vom 18. März 2016 über die elektronische Signatur (ZertES; SR 943.03) sei der eigenhändigen Signatur gleichgestellt.</w:t>
      </w:r>
    </w:p>
    <w:p>
      <w:r>
        <w:rPr>
          <w:b/>
        </w:rPr>
        <w:t>E. 2.2</w:t>
      </w:r>
    </w:p>
    <w:p>
      <w:r>
        <w:t>Der Beschwerdeführer erachtet diese Erwägungen der Vorinstanz als "sinnfrei". Eine qualifizierte elektronische Unterschrift sei etwas völlig anderes als die Nachbildung einer Unterschrift. Die beanstandete Pfändungsankündigung enthalte in Abweichung von Art. 6 der Verordnung des Bundesgerichts über die im Betreibungs- und Konkursverfahren zu verwendenden Formulare und Register sowie die Rechnungsführung vom 5. Juni 1996 (VFRR; SR 281.31) lediglich eine mitgedruckte Faksimileunterschrift und sei somit als unverbindliches Dokument zu betrachten. Der Verordnungsartikel akzeptiere ausschliesslich eigenhändige oder gestempelte Unterschriften, jedoch keine mitgedruckten Versionen. Im Übrigen habe sich die Vorinstanz die Unsicherheit über die tatsächliche Qualität des Schriftzugs selbst zuzuschreiben, weil sie auf die Einholung einer Vernehmlassung verzichtet habe.</w:t>
      </w:r>
    </w:p>
    <w:p>
      <w:r>
        <w:rPr>
          <w:b/>
        </w:rPr>
        <w:t>E. 2.3</w:t>
      </w:r>
    </w:p>
    <w:p>
      <w:r>
        <w:t>Die Vorinstanz hat bezüglich der Art und Weise, wie die Unterschrift auf der Pfändungsankündigung angebracht wurde, keine konkreten Feststellungen getroffen (vgl E. 2.1 hievor). Selbst wenn man mit dem Beschwerdeführer davon ausginge, dass die Unterschrift auf der Pfändungsankündigung durch Aufdruck der eingescannten Unterschrift reproduziert wurde, müsste die Pfändungsankündigung indes als gültig erachtet werden. Gemäss Art. 6 VFRR sind die Formulare von den nach den kantonalen Vorschriften hiezu befugten Beamten oder Angestellten des Betreibungs- bzw. Konkursamtes zu unterzeichnen; es dürfen Faksimilestempel verwendet werden. Soweit der Beschwerdeführer darunter nur einen physischen Stempel verstehen möchte, der auf ausgedruckte Dokumente gestempelt wird, ist ihm nicht zu folgen. Bereits vor Inkrafttreten der genannten Verordnung hat es das Bundesgericht abgelehnt, eine seit mehreren Jahrzehnten bestehende Praxis betreffend die Verwendung von Faksimileunterschriften auf Betreibungsformularen zu ändern. Gehe es um offizielle Formulare, die vom Betreibungsamt verwendet werden müssen, spiele es keine wesentliche Rolle, von wem und wie sie unterzeichnet werden. Die Vornahme einer Praxisänderung wegen einer bloss virtuellen Missbrauchsgefahr, nachdem tatsächlich keine solche nachgewiesen sei, dränge sich keineswegs auf (Urteil B.101/1991 vom 2. Juli 1991 E. 3). Diese Erwägungen haben nach wie vor Gültigkeit. Es ist deshalb festzuhalten, dass sich die Zulassung von Faksimilestempeln in Art. 6 VFRR auch auf digitalisierte Unterschriften bezieht, was überdies dem Willen der ehemaligen Schuldbetreibungs- und Konkurskammer des Bundesgerichts entspricht (WEYERMANN, Die Verordnungen des Bundesgerichts zum SchKG in ihrer geänderten Fassung, in: AJP 1996 S. 1371).</w:t>
      </w:r>
    </w:p>
    <w:p>
      <w:r>
        <w:rPr>
          <w:b/>
        </w:rPr>
        <w:t>E. 3</w:t>
      </w:r>
    </w:p>
    <w:p>
      <w:r>
        <w:t>Die weiteren Ausführungen des Beschwerdeführers gehen an der Sache vorbei. Seine Sichtweise, dass es sich beim Amtsvorsteher gemäss Art. 2 Abs. 1 SchKG um einen eigentlichen Beamten handeln müsse, hat die Vorinstanz zu Recht verworfen. Zumal der Beamtenstatus in der Schweiz gegen Ende des 20. und zu Beginn des 21. Jahrhunderts sowohl auf Bundes- als auch auf Kantonsebene weitgehend abgeschafft wurde (vgl. PENON/WOHLGEMUTH, in: Kommentar zum Bundesgesetz über Schuldbetreibung und Konkurs, 4. Aufl. 2017, N. 18 zu Art. 65 SchKG ), ist eine Wahl für eine bestimmte Amtsdauer weder üblich noch erforderlich. Das eigene Staatsverständnis des Beschwerdeführers, wonach die Schweizerische Eidgenossenschaft kein Staat im Sinne der juristischen Definitionen sei, vermag eine Ungültigkeit oder Nichtigkeit der beanstandeten Pfändungsankündigung ebenfalls nicht zu begründen. Nicht nachvollziehbar sind schliesslich die Beanstandungen des Beschwerdeführers zur Darstellung seines Namens, werden doch sowohl der Familienname als auch der Vorname des Beschwerdeführers auf der Pfändungsankündigung korrekt aufgeführt; ein Komma oder gar die Schreibweise über zwei Zeilen, sind - wie bereits die Vorinstanz erörtert hat - nicht Teil des amtlichen Namens. Im Übrigen verkennt der Beschwerdeführer die Aufgabe des Bundesgerichts, welches als Rechtsmittelinstanz einzig letztinstanzliche Entscheide überprüfen kann, indes gegenüber den kantonalen Behörden und Betreibungsämtern keine Aufsichtsfunktionen wahrnimmt (vgl. Art. 15 SchKG ).</w:t>
      </w:r>
    </w:p>
    <w:p>
      <w:r>
        <w:rPr>
          <w:b/>
        </w:rPr>
        <w:t>E. 4</w:t>
      </w:r>
    </w:p>
    <w:p>
      <w:r>
        <w:t>Aus den dargelegten Gründen ist der Beschwerde kein Erfolg beschieden.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