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5A_871/2019 vom 5. November 2019</w:t>
      </w:r>
    </w:p>
    <w:p>
      <w:r>
        <w:t>Bundesgericht, 2019-11-05, DE</w:t>
      </w:r>
    </w:p>
    <w:p>
      <w:r>
        <w:rPr>
          <w:b/>
        </w:rPr>
        <w:t xml:space="preserve">Quelle: </w:t>
      </w:r>
      <w:r>
        <w:t>https://mcp.opencaselaw.ch/entscheid/bger_5A_871_2019</w:t>
      </w:r>
    </w:p>
    <w:p>
      <w:r>
        <w:t>FR: TF 5A_871/2019 du 5 novembre 2019</w:t>
      </w:r>
    </w:p>
    <w:p>
      <w:r>
        <w:t>IT: TF 5A_871/2019 del 5 novembre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Das Obergericht hat ausgeführt, dass sich die vorgelegte Quittung über eine Einzahlung von Fr. 1'500.-- nicht zuordnen lasse und im Übrigen der zu tilgende Betrag samt Zins und Kosten Fr. 1'956.35 betrage. Ferner habe der Beschwerdeführer am 19. September 2019 bei der Obergerichtskasse Fr. 1'770.-- zugunsten der Gläubigerin hinterlegt. Auch damit sei aber die Schuld von Fr. 1'956.35 nicht gedeckt. Selbst wenn man die beiden Zahlungen zusammenrechnen würde, könnte die Beschwerde aber nicht gutgeheissen werden, weil der Beschwerdeführer entgegen der mehrfachen ausdrücklichen Belehrung keinerlei Behauptungen und Belege zur Glaubhaftmachung seiner Zahlungsfähigkeit aufgestellt bzw. eingereicht habe.</w:t>
      </w:r>
    </w:p>
    <w:p>
      <w:r>
        <w:t>Mit diesen Ausführungen, namentlich mit der gesetzlich geforderten Glaubhaftmachung der Zahlungsfähigkeit im kantonalen Rechtsmittelverfahren (vgl. Art. 174 Abs. 2 SchKG ), setzt sich der Beschwerdeführer mit keinem Wort auseinander. Er legt einzig eine Kopie der Quittung über die Einzahlung von Fr. 1'770.-- zugunsten der Obergerichtskasse bei und hält fest, damit erachte er die Beschwerde als ausreichend begründet.</w:t>
      </w:r>
    </w:p>
    <w:p>
      <w:r>
        <w:rPr>
          <w:b/>
        </w:rPr>
        <w:t>E. 3</w:t>
      </w:r>
    </w:p>
    <w:p>
      <w:r>
        <w:t>Nach dem Gesagten erweist sich die Beschwerde als offensichtlich nicht hinreichend begründet, weshalb auf sie nicht eingetreten werden kann und im vereinfachten Verfahren nach Art. 108 Abs. 1 lit. b BGG zu entscheiden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