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870/2022 vom 15. November 2022</w:t>
      </w:r>
    </w:p>
    <w:p>
      <w:r>
        <w:t>Bundesgericht, 2022-11-15, DE</w:t>
      </w:r>
    </w:p>
    <w:p>
      <w:r>
        <w:rPr>
          <w:b/>
        </w:rPr>
        <w:t xml:space="preserve">Quelle: </w:t>
      </w:r>
      <w:r>
        <w:t>https://mcp.opencaselaw.ch/entscheid/bger_5A_870_2022</w:t>
      </w:r>
    </w:p>
    <w:p>
      <w:r>
        <w:t>FR: TF 5A 870/2022 du 15 novembre 2022</w:t>
      </w:r>
    </w:p>
    <w:p>
      <w:r>
        <w:t>IT: TF 5A 870/2022 del 15 novembre 2022</w:t>
      </w:r>
    </w:p>
    <w:p>
      <w:pPr>
        <w:pStyle w:val="Heading2"/>
      </w:pPr>
      <w:r>
        <w:t>Regeste</w:t>
      </w:r>
    </w:p>
    <w:p>
      <w:r>
        <w:t>Forderung (Persönlichkeitsverletzung) | Personenrecht</w:t>
      </w:r>
    </w:p>
    <w:p>
      <w:pPr>
        <w:pStyle w:val="Heading2"/>
      </w:pPr>
      <w:r>
        <w:t>Erwägungen</w:t>
      </w:r>
    </w:p>
    <w:p>
      <w:r>
        <w:rPr>
          <w:b/>
        </w:rPr>
        <w:t>E. 1</w:t>
      </w:r>
    </w:p>
    <w:p>
      <w:r>
        <w:t>Die Vorinstanz ist auf das Rechtsmittel der Beschwerdeführerin nicht eingetreten mit der Erwägung, sie setze sich nicht mit der Begründung des Friedensrichteramtes auseinander, wonach es um Schadenersatz- und Genugtuunsforderungen aus öffentlich-rechtlichem Verhältnis gehe, welche nicht vor der Schlichtungsbehörde geltend gemacht werden könnten. Anfechtungsgegenstand ist deshalb grundsätzlich nur die Frage,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soweit die Ausführungen inhaltlich überhaupt nachvollziehbar sind, nicht entnehmen. Die Beschwerdeführerin scheint sinngemäss einem Arzt eine 2014 durch falsche Medikation begangene fahrlässige Körperverletzung zur Last zu legen und geltend zu machen, Polizei und Staatsanwaltschaft hätten sich nicht darum kümmern wollen. Weiter wird geltend gemacht, aufgrund vieler Umzüge und wegen Darlehen sowie durch weitere Straftaten sei ein grosser Schaden entstanden. Eine irgendwie geartete konkrete Bezugnahme auf den angefochtenen Beschluss ist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