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5A_86/2022 vom 9. Februar 2022</w:t>
      </w:r>
    </w:p>
    <w:p>
      <w:r>
        <w:t>Bundesgericht, 2022-02-09, DE</w:t>
      </w:r>
    </w:p>
    <w:p>
      <w:r>
        <w:rPr>
          <w:b/>
        </w:rPr>
        <w:t xml:space="preserve">Quelle: </w:t>
      </w:r>
      <w:r>
        <w:t>https://mcp.opencaselaw.ch/entscheid/bger_5A_86_2022</w:t>
      </w:r>
    </w:p>
    <w:p>
      <w:r>
        <w:t>FR: TF 5A_86/2022 du 9 février 2022</w:t>
      </w:r>
    </w:p>
    <w:p>
      <w:r>
        <w:t>IT: TF 5A_86/2022 del 9 febbraio 2022</w:t>
      </w:r>
    </w:p>
    <w:p>
      <w:pPr>
        <w:pStyle w:val="Heading2"/>
      </w:pPr>
      <w:r>
        <w:t>Erwägungen</w:t>
      </w:r>
    </w:p>
    <w:p>
      <w:r>
        <w:rPr>
          <w:b/>
        </w:rPr>
        <w:t>E. 1</w:t>
      </w:r>
    </w:p>
    <w:p>
      <w:r>
        <w:t>Anfechtungsobjekt ist ausschliesslich der Entscheid des Obergerichtes ( Art. 75 Abs. 1 BGG ) und Anfechtungsgegenstand kann nur sein, was vom Obergericht beurteilt wurde ( Art. 99 Abs. 2 BGG ; BGE 136 II 457 E. 4.2 S. 462 f. ; 142 I 155 E. 4.4.2 S. 156). Von vornherein unzulässig sind mithin die Begehren betreffend Aufhebung der erstinstanzlichen superprovisorischen Verfügung und Zuspruch von Schadenersatz. Sodann ist das Bundesgericht nicht zur Beurteilung von Prozesskostenvorschussgesuchen zuständig.</w:t>
      </w:r>
    </w:p>
    <w:p>
      <w:r>
        <w:rPr>
          <w:b/>
        </w:rPr>
        <w:t>E. 2</w:t>
      </w:r>
    </w:p>
    <w:p>
      <w:r>
        <w:t>Die Beschwerdeführerin verlangt generell neue Richter und speziell die Auswechslung des Bezirksgerichts wegen Verfassungsverletzungen; dem federführenden erstinstanzlichen Richter wirft sie vor, er habe viele ihrer Anträge ignoriert, weshalb sie ihn als Feind betrachte, der willkürlich, diskriminierend, mobbend, rassistisch und parteiisch handle.</w:t>
      </w:r>
    </w:p>
    <w:p>
      <w:r>
        <w:t>Ein Ausstandsbegehren kann nicht institutionell, d.h. gegen ein Gericht oder eine Abteilung erhoben werden; vielmehr sind substanziiert vorgetragene Ausstandsgründe in Bezug auf konkrete Personen vorzubringen (vgl. BGE 105 Ib 301 E. 1a S. 302 f.; Urteile 1B_86/2011 vom 14. April 2011 E. 3.3.1; 2C_305/2011 vom 22. August 2011 E. 2.7; 5A_205/2017 vom 11. Mai 2017 E. 3; 5A_528/2020 vom 3. Juli 2020 E. 3).</w:t>
      </w:r>
    </w:p>
    <w:p>
      <w:r>
        <w:t>Was den federführenden erstinstanzlichen Richter anbelangt, ist er nicht allein deshalb befangen, weil er in früheren Verfahren zwischen den gleichen Parteien geurteilt hat ( BGE 129 III 445 E. 4.2.2.2 S. 466 f.; 143 IV 69 E. 3 S. 74). Die gegen ihn gerichteten Vorwürfe sind im Übrigen polemisch; darauf ist nicht weiter einzugehen.</w:t>
      </w:r>
    </w:p>
    <w:p>
      <w:r>
        <w:rPr>
          <w:b/>
        </w:rPr>
        <w:t>E. 3</w:t>
      </w:r>
    </w:p>
    <w:p>
      <w:r>
        <w:t>In der Sache ist zu beachten, dass es um eine vorsorgliche Massnahme geht und bei dieser nur die Verletzung verfassungsmässiger Rechte geltend gemacht werden kann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 Der Vollständigkeit halber ist festzuhalten, dass selbst wenn das Bundesgericht volle Rechtskognition hätte, die Sachverhaltsfeststellungen des angefochtenen Entscheides für das Bundesgericht grundsätzlich verbindlich wären ( Art. 105 Abs. 1 BGG ).</w:t>
      </w:r>
    </w:p>
    <w:p>
      <w:r>
        <w:t>Die Beschwerdeführerin ruft keine verfassungsmässigen Rechte als verletzt an und macht auch inhaltlich keine Vorbringen, welche potenziell Verfassungsrügen darstellen könnten. Vielmehr beziehen sich ihre Ausführungen in erster Linie auf den Sachverhalt, wobei sie den Feststellungen und Erwägungen im angefochtenen Entscheid (Unmöglichkeit einer konstruktiven Kommunikation mit der Mutter; ständige Forderungen und Beschimpfungen gegenüber Schulvertretern; allgemeine Verweigerungshaltung gegenüber Schulen und Behörden; fürsorgerische Unterbringung der Mutter am 2. Juni 2021 in der Klinik Königsfelden; insgesamt bestehende Gefährdung des Kindeswohls bei mütterlicher Obhut, weil die Mutter mit der Erziehung offensichtlich überfordert und im Konflikt mit dem Vater gefangen sei; Entschärfung der Problematik für die in den Konflikt einbezogenen Kinder durch vorsorgliche Obhuts- und Sorgerechtszuteilung an den Vater, mit dem die Schule gut kommunizieren könne und der mit seinem ruhigeren sowie überlegteren Erziehungsverhalten als Alleinentscheidungsträger besser geeignet erscheine und Hilfsangeboten gegenüber offener sei; Einholung eines Gutachtens gehöre ins Scheidungsverfahren) in appellatorischer Form ihre eigene Sichtweise vorbringt, ohne dabei aber einen sachgerichteten Bezug zu den Feststellungen und Erwägungen des angefochtenen Entscheides herzustellen (sie selbst habe beste Absichten in Bezug auf das Kindeswohl, was auch der Grund für die wiederholten Schulwechselanträge gewesen sei; umfassende Polemik gegen den Vater, dem psychische Probleme, Aggressivität und Gewalt gegen die Kinder vorgeworfen wird; diese würden deshalb auch nicht bei ihm wohnen wollen; es bestehe kein elterlicher Konflikt, sondern der erstinstanzliche Richter habe die Eltern mit seinen komischen, unbegründeten Entscheiden gegeneinander ausgespielt; es komme ihr vor, als würden sich alle Personen gegen sie verschwören; sie wolle wieder ein normales Leben mit den Kindern, es sei sehr schön mit ihnen und sie hätten eine stabile Familie verdient).</w:t>
      </w:r>
    </w:p>
    <w:p>
      <w:r>
        <w:rPr>
          <w:b/>
        </w:rPr>
        <w:t>E. 4</w:t>
      </w:r>
    </w:p>
    <w:p>
      <w:r>
        <w:t>Nach dem Gesagten ist die Beschwerde teils unzulässig, in Bezug auf die Befangenheitsrügen abzuweisen und im Übrigen mangels Verfassungsrügen unzureichend begründet, weshalb insoweit auf sie nicht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