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86/2013 vom 12. März 2014</w:t>
      </w:r>
    </w:p>
    <w:p>
      <w:r>
        <w:t>Bundesgericht, 2014-03-12, DE</w:t>
      </w:r>
    </w:p>
    <w:p>
      <w:r>
        <w:rPr>
          <w:b/>
        </w:rPr>
        <w:t xml:space="preserve">Quelle: </w:t>
      </w:r>
      <w:r>
        <w:t>https://mcp.opencaselaw.ch/entscheid/bger_5A_86_2013</w:t>
      </w:r>
    </w:p>
    <w:p>
      <w:r>
        <w:t>FR: TF 5A 86/2013 du 12 mars 2014</w:t>
      </w:r>
    </w:p>
    <w:p>
      <w:r>
        <w:t>IT: TF 5A 86/2013 del 12 marzo 2014</w:t>
      </w:r>
    </w:p>
    <w:p>
      <w:pPr>
        <w:pStyle w:val="Heading2"/>
      </w:pPr>
      <w:r>
        <w:t>Regeste</w:t>
      </w:r>
    </w:p>
    <w:p>
      <w:r>
        <w:t>Ehescheidung | Familienrecht</w:t>
      </w:r>
    </w:p>
    <w:p>
      <w:pPr>
        <w:pStyle w:val="Heading2"/>
      </w:pPr>
      <w:r>
        <w:t>Erwägungen</w:t>
      </w:r>
    </w:p>
    <w:p>
      <w:r>
        <w:rPr>
          <w:b/>
        </w:rPr>
        <w:t>E. 4</w:t>
      </w:r>
    </w:p>
    <w:p>
      <w:r>
        <w:t>Zusammenfassend ergibt sich, dass die Beschwerdegegnerin in teilweiser Gutheissung der Beschwerde zu Unterhaltsbeiträgen an die beim Beschwerdeführer lebende Tochter E.________ von Fr. 50.-- ab Mai 2012 und von Fr. 740.-- ab Mai 2016 zu verpflichten ist. Sodann ist der Beschwerdeführer in dahingehender Modifikation des angefochtenen Urteils zu verpflichten, ab Mai 2016 für die bei der Beschwerdegegnerin lebenden Töchter C.________ und D.________ Unterhaltsbeiträge von je Fr. 1'100.-- zu bezahlen. Im Übrigen ist die Beschwerde abzuweisen, soweit darauf eingetreten werden kann, bzw. bleibt es bei den Regelungen im angefochtenen obergerichtlichen Urteil. Beiden Parteien ist für das bundesgerichtliche Verfahren antragsgemäss die unentgeltliche Rechtspflege zu gewähren, je unter Beigabe der sie vertretenden Rechtsanwältin ( Art. 64 Abs. 1 und 2 BGG ). Diese sowie die Kindesvertreterin sind aus der Bundesgerichtskasse zu entschädigen. Die Gerichtskosten werden den Parteien ausgangsgemäss je zur Hälfte auferlegt ( Art. 66 Abs. 1 BGG ) und einstweilen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