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5A_867/2012 vom 7. März 2013</w:t>
      </w:r>
    </w:p>
    <w:p>
      <w:r>
        <w:t>Bundesgericht, 2013-03-07, FR</w:t>
      </w:r>
    </w:p>
    <w:p>
      <w:r>
        <w:rPr>
          <w:b/>
        </w:rPr>
        <w:t xml:space="preserve">Quelle: </w:t>
      </w:r>
      <w:r>
        <w:t>https://mcp.opencaselaw.ch/entscheid/bger_5A_867_2012</w:t>
      </w:r>
    </w:p>
    <w:p>
      <w:r>
        <w:t>FR: TF 5A_867/2012 du 7 mars 2013</w:t>
      </w:r>
    </w:p>
    <w:p>
      <w:r>
        <w:t>IT: TF 5A_867/2012 del 7 marzo 2013</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par un tribunal supérieur du canton ayant statué sur recours ( art. 75 al. 1 et 2 LTF ); la valeur litigieuse est atteinte ( art. 74 al. 1 let. b LTF ); la poursuivante, qui a été déboutée de ses conclusions par l'autorité précédente, a qualité pour recourir ( art. 76 al. 1 LTF ).</w:t>
      </w:r>
    </w:p>
    <w:p>
      <w:r>
        <w:t>Le recours en matière civile peut être formé pour violation du droit fédéral, y compris les droits constitutionnels ( art. 95 let. a LTF ). La décision en matière de mainlevée, définitive ou provisoire, n'est en effet pas une décision de mesures provisionnelles au sens de l' art. 98 LTF - contre laquelle seule la violation des droits constitutionnels peut être invoquée - ( ATF 133 III 399 consid. 1.5; 135 III 670 consid. 1.3.): le juge de la mainlevée n'examine pas l'existence de la créance en poursuite, mais celle d'un titre exécutoire, statuant sur le droit du créancier de poursuivre le débiteur ( ATF 132 III 140 consid. 4.1.1).</w:t>
      </w:r>
    </w:p>
    <w:p>
      <w:r>
        <w:rPr>
          <w:b/>
        </w:rPr>
        <w:t>E. 2</w:t>
      </w:r>
    </w:p>
    <w:p>
      <w:r>
        <w:t>La procédure de mainlevée provisoire est un incident de la poursuite; elle n'a pas pour objet de statuer sur la réalité de la prétention en poursuite, mais uniquement sur la force exécutoire du titre produit par la poursuivante ( ATF 136 III 583 consid. 2.3 p. 586-587 et les références citées). Le prononcé de mainlevée provisoire ne sortit que des effets de droit des poursuites ( ATF 100 III 48 consid. 3 p. 50) et ne fonde pas l'exception de chose jugée (res iudicata) quant à l'existence de la créance ( ATF 136 III 583 consid. 2.3 p. 587). La décision du juge de la mainlevée ne prive donc pas les parties du droit de soumettre à nouveau la question litigieuse au juge ordinaire ( art. 79 et 83 al. 2 LP ; cf. ATF 136 III 528 consid. 3.2).</w:t>
      </w:r>
    </w:p>
    <w:p>
      <w:r>
        <w:rPr>
          <w:b/>
        </w:rPr>
        <w:t>E. 3.1</w:t>
      </w:r>
    </w:p>
    <w:p>
      <w:r>
        <w:t>Dans une motivation quelque peu contradictoire, la cour cantonale semble en définitive avoir considéré que le recourant s'est engagé à verser les intérêts de premier rang de la dette hypothécaire de sa mère, prestation qui fait partie de la succession. Elle a constaté que les décomptes bancaires produits pour la période de janvier 2001 à décembre 2008 font état d'une seule dette hypothécaire de 500'000 fr., au taux de 3,5 %. A l'instar du premier juge, elle a estimé que le fait que la somme en capital du crédit soit plus élevée - 500'000 fr. - que celle mentionnée dans le pacte successoral - 200'000 fr. - est sans importance dès lors que le débiteur doit régler les intérêts hypothécaires relatifs à la somme de 200'000 fr. Les pièces bancaires permettent donc de calculer le montant dû au titre desdits intérêts. Elle a ainsi admis qu'il y avait bien reconnaissance de dette.</w:t>
      </w:r>
    </w:p>
    <w:p>
      <w:r>
        <w:t>Examinant ensuite le moyen libératoire invoqué à titre subsidiaire, à savoir la renonciation de la mère à recouvrer sa dette, manifestée par son courrier du 30 novembre 2009, la cour cantonale a considéré qu'une telle "révocation" affaiblit la situation des autres parties au pacte successoral, de sorte qu'elles auraient dû manifester leur accord par leur signature. Elle en a conclu que le recourant n'a pas rendu vraisemblable que sa mère pouvait, seule, valablement résilier la clause du pacte successoral relative aux intérêts dus par lui. Par ailleurs, l'authenticité de la renonciation de la mère n'a pas été rendue vraisemblable.</w:t>
      </w:r>
    </w:p>
    <w:p>
      <w:r>
        <w:rPr>
          <w:b/>
        </w:rPr>
        <w:t>E. 3.2</w:t>
      </w:r>
    </w:p>
    <w:p>
      <w:r>
        <w:t>Le recourant s'en prend tant à l'admission de la reconnaissance de dette (violation de l' art. 82 al. 1 LP ) qu'au rejet de son moyen libératoire (violation de l' art. 9 Cst , ainsi que des art. 82 al. 2 LP , 18 et 115 CO et 513 al. 1 CC).</w:t>
      </w:r>
    </w:p>
    <w:p>
      <w:r>
        <w:rPr>
          <w:b/>
        </w:rPr>
        <w:t>E. 4</w:t>
      </w:r>
    </w:p>
    <w:p>
      <w:r>
        <w:t>Il y a lieu d'examiner tout d'abord la violation de l' art. 82 al. 1 LP , le recourant soutenant que le pacte successoral et les pièces bancaires ne constituent pas une reconnaissance de dette.</w:t>
      </w:r>
    </w:p>
    <w:p>
      <w:r>
        <w:rPr>
          <w:b/>
        </w:rPr>
        <w:t>E. 4.1</w:t>
      </w:r>
    </w:p>
    <w:p>
      <w:r>
        <w:t>Au sens de l' art. 82 al. 1 LP , constitue une reconnaissance de dette, en particulier l'acte authentique ou sous seing privé signé par le poursuivi, d'où ressort sa volonté de payer au poursuivant, sans réserve ni condition, une somme d'argent déterminée, ou aisément déterminable, et exigible ( ATF 136 III 624 consid. 4.2.2, 627 consid. 2 et les arrêts cités).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 ATF 132 III 480 consid. 4.1 p. 481 et les références citées; 5P.380/2005 consid. 4.2; 5A_652/2011 consid. 3.2.1). Il doit en effet exister un lien manifeste et non équivoque entre la reconnaissance de dette et les autres pièces, et le montant dû doit pouvoir être calculé facilement sur la base de ces pièces (DANIEL STAEHELIN, in: Basler Kommentar, SchKG I, 2e éd., 2010, n° 15 ad art. 82).</w:t>
      </w:r>
    </w:p>
    <w:p>
      <w:r>
        <w:rPr>
          <w:b/>
        </w:rPr>
        <w:t>E. 4.2</w:t>
      </w:r>
    </w:p>
    <w:p>
      <w:r>
        <w:t>La clause 3 al. 5 du pacte successoral a la teneur suivante:</w:t>
      </w:r>
    </w:p>
    <w:p>
      <w:r>
        <w:t>"Par contre, Monsieur A.________ reconnaît continuer devoir à sa mère ou ses ayants droits, l'intérêt de 1er rang calculé par le créancier hypothécaire de sa mère sur la somme en capital de deux cent mille francs et ce à compter du 2e trimestre 2001, dit intérêt qu'il s'engage à acquitter régulièrement, jusqu'au décès de sa mère, date à laquelle il sera libéré de cet engagement."</w:t>
      </w:r>
    </w:p>
    <w:p>
      <w:r>
        <w:t>Chaque décompte d'intérêts de la Banque D.________, adressé à la mère du recourant, fait état d'un capital de 500'000 fr., et pour 180 jours à un taux d'intérêt de 3,5%, d'un montant d'intérêts dû de 8'750 fr.</w:t>
      </w:r>
    </w:p>
    <w:p>
      <w:r>
        <w:rPr>
          <w:b/>
        </w:rPr>
        <w:t>E. 4.3</w:t>
      </w:r>
    </w:p>
    <w:p>
      <w:r>
        <w:t>Il est évident que la clause litigieuse du pacte successoral, seul document signé, ne se réfère, ni ne renvoie à aucune pièce. Il n'existe pas de lien manifeste et univoque entre elle et les décomptes bancaires invoqués par les créanciers: le pacte ne chiffre pas le taux de l'hypothèque de 1er rang, n'indique pas le nom du créancier hypothécaire et concerne un capital de 200'000 fr. alors que chaque décompte bancaire de la Banque D.________ indique un taux de 3,5% pour un capital de 500'000 fr., sans que l'on sache s'il s'agit bien du créancier hypothécaire visé dans le pacte, si le taux de 3,5% est bien le taux d'une hypothèque de premier rang et si le crédit dont le montant est supérieur est bien celui visé dans le pacte.</w:t>
      </w:r>
    </w:p>
    <w:p>
      <w:r>
        <w:t>Pour valoir reconnaissance de dette, il faudrait que la clause du pacte indique comme créancier hypothécaire la Banque D.________, que les décomptes bancaires, adressés à la mère, précisent que le taux de 3,5% réclamé l'est pour une hypothèque de premier rang et qu'ils concernent un capital de 200'000 fr. A défaut, comme le soutient le recourant, même si sa mère n'était propriétaire que d'un seul immeuble, on ne peut exclure que les décomptes concernent un crédit garanti par une hypothèque d'un autre rang.</w:t>
      </w:r>
    </w:p>
    <w:p>
      <w:r>
        <w:t>En tant que les intimés soutiennent que leur frère connaissait parfaitement le créancier hypothécaire de sa mère et le taux de 3,5% appliqué par celui-ci, ils font valoir des faits qui ne ressortent pas du rapprochement du pacte et des pièces produites, et qui donc ne pourraient être pris en considération dans la procédure de mainlevée que si le débiteur ne les contestait pas. Tel n'étant pas le cas, ils doivent être soumis au juge ordinaire (cf. supra consid. 2).</w:t>
      </w:r>
    </w:p>
    <w:p>
      <w:r>
        <w:rPr>
          <w:b/>
        </w:rPr>
        <w:t>E. 5</w:t>
      </w:r>
    </w:p>
    <w:p>
      <w:r>
        <w:t>Le recours devant être admis pour ce motif, il est superflu d'examiner les autres griefs de fait et le grief relatif au moyen libératoire soulevés par le recourant.</w:t>
      </w:r>
    </w:p>
    <w:p>
      <w:r>
        <w:rPr>
          <w:b/>
        </w:rPr>
        <w:t>E. 6</w:t>
      </w:r>
    </w:p>
    <w:p>
      <w:r>
        <w:t>En conclusion, le présent recours est admis et l'arrêt attaqué doit être annulé et réformé en ce sens que la requête de mainlevée dans la poursuite n° 2 est rejetée. Les frais judiciaires et les dépens doivent être mis à la charge des intimés, qui ont conclu au rejet du recours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