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866/2019 vom 12. November 2019</w:t>
      </w:r>
    </w:p>
    <w:p>
      <w:r>
        <w:t>Bundesgericht, 2019-11-12, IT</w:t>
      </w:r>
    </w:p>
    <w:p>
      <w:r>
        <w:rPr>
          <w:b/>
        </w:rPr>
        <w:t xml:space="preserve">Quelle: </w:t>
      </w:r>
      <w:r>
        <w:t>https://mcp.opencaselaw.ch/entscheid/bger_5A_866_2019</w:t>
      </w:r>
    </w:p>
    <w:p>
      <w:r>
        <w:t>FR: TF 5A 866/2019 du 12 novembre 2019</w:t>
      </w:r>
    </w:p>
    <w:p>
      <w:r>
        <w:t>IT: TF 5A 866/2019 del 12 novembre 2019</w:t>
      </w:r>
    </w:p>
    <w:p>
      <w:pPr>
        <w:pStyle w:val="Heading2"/>
      </w:pPr>
      <w:r>
        <w:t>Regeste</w:t>
      </w:r>
    </w:p>
    <w:p>
      <w:r>
        <w:t>calcolo del minimo d'esistenza | Diritto delle esecuzioni e del fallimento</w:t>
      </w:r>
    </w:p>
    <w:p>
      <w:pPr>
        <w:pStyle w:val="Heading2"/>
      </w:pPr>
      <w:r>
        <w:t>Erwägungen</w:t>
      </w:r>
    </w:p>
    <w:p>
      <w:r>
        <w:rPr>
          <w:b/>
        </w:rPr>
        <w:t>E. 1</w:t>
      </w:r>
    </w:p>
    <w:p>
      <w:r>
        <w:t>Nell'esecuzione promossa da B.________AG nei confronti di A.________ per l'incasso di fr. 27'727.10, il 28 agosto 2019 l'Ufficio di esecuzione di Lugano (UE) ha segnatamente determinato che il minimo d'esistenza mensile dell'escussa è pari a fr. 2'011.70. Con sentenza 23 ottobre 2019 la Camera di esecuzione e fallimenti del Tribunale d'appello del Cantone Ticino, quale autorità di vigilanza, ha respinto il ricorso introdotto da A.________ avverso il calcolo effettuato dall'UE. La Corte cantonale ha in particolare osservato che, nell'ambito del pignoramento dei redditi, non si tiene conto né dei premi per l'assicurazione complementare contro le malattie (non ritenuti indispensabili ai sensi dell' art. 93 LEF ) né di asserite spese indispensabili legate alla salute che non sono state dimostrate.</w:t>
      </w:r>
    </w:p>
    <w:p>
      <w:r>
        <w:rPr>
          <w:b/>
        </w:rPr>
        <w:t>E. 2</w:t>
      </w:r>
    </w:p>
    <w:p>
      <w:r>
        <w:t>Con ricorso 31 ottobre 2019 A.________ ha impugnato la sentenza dell'autorità di vigilanza dinanzi al Tribunale federale, chiedendo " il riconoscimento della rata reale del premio della cassa malati ". Non sono state chieste determinazioni.</w:t>
      </w:r>
    </w:p>
    <w:p>
      <w:r>
        <w:rPr>
          <w:b/>
        </w:rPr>
        <w:t>E. 3</w:t>
      </w:r>
    </w:p>
    <w:p>
      <w:r>
        <w:t>Il rimedio è privo della firma manoscritta della ricorrente. Dato l'esito della presente procedura, si può tuttavia rinunciare ad impartire un termine per sanare tale vizio (v. art. 42 cpv. 5 LTF ).</w:t>
      </w:r>
    </w:p>
    <w:p>
      <w:r>
        <w:rPr>
          <w:b/>
        </w:rPr>
        <w:t>E. 4</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Il rimedio all'esame non soddisfa le esigenze di motivazione dell' art. 42 cpv. 2 LTF . La ricorrente, infatti, non si misura minimamente con i dettagliati e pertinenti argomenti esposti nella sentenza impugnata e non spiega in che modo essa sarebbe contraria al diritto, ma si limita ad elencare i motivi alla base delle difficoltà economiche della propria famiglia.</w:t>
      </w:r>
    </w:p>
    <w:p>
      <w:r>
        <w:rPr>
          <w:b/>
        </w:rPr>
        <w:t>E. 5</w:t>
      </w:r>
    </w:p>
    <w:p>
      <w:r>
        <w:t>Da quanto precede discende che il ricorso, manifestamente non motivato in modo sufficiente, può essere deciso nella procedura semplificata dell' art. 108 cpv. 1 lett. b LTF . Nella presente fattispecie si può rinunciare a prelevare spese giudiziarie (art. 66 cpv. 1 seconda frase LTF). Per questi motivi, la Giudice presidente pronuncia: 1. Il ricorso è inammissibile. 2. Non si prelevano spese giudiziarie. 3. Comunicazione ai partecipanti al procedimento e alla Camera di esecuzione e fallimenti del Tribunale d'appello del Cantone Ticino, quale autorità di vigilanza. Losanna, 12 novembre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