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5A_866/2017 vom 22. Mai 2018</w:t>
      </w:r>
    </w:p>
    <w:p>
      <w:r>
        <w:t>Bundesgericht, 2018-05-22, DE</w:t>
      </w:r>
    </w:p>
    <w:p>
      <w:r>
        <w:rPr>
          <w:b/>
        </w:rPr>
        <w:t xml:space="preserve">Quelle: </w:t>
      </w:r>
      <w:r>
        <w:t>https://mcp.opencaselaw.ch/entscheid/bger_5A_866_2017</w:t>
      </w:r>
    </w:p>
    <w:p>
      <w:r>
        <w:t>FR: TF 5A_866/2017 du 22 mai 2018</w:t>
      </w:r>
    </w:p>
    <w:p>
      <w:r>
        <w:t>IT: TF 5A_866/2017 del 22 maggio 2018</w:t>
      </w:r>
    </w:p>
    <w:p>
      <w:pPr>
        <w:pStyle w:val="Heading2"/>
      </w:pPr>
      <w:r>
        <w:t>Erwägungen</w:t>
      </w:r>
    </w:p>
    <w:p>
      <w:r>
        <w:rPr>
          <w:b/>
        </w:rPr>
        <w:t>E. 1.1</w:t>
      </w:r>
    </w:p>
    <w:p>
      <w:r>
        <w:t>Angefochten ist ein kantonal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überschritten ist ( Art. 74 Abs. 1 lit. b BGG ).</w:t>
      </w:r>
    </w:p>
    <w:p>
      <w:r>
        <w:rPr>
          <w:b/>
        </w:rPr>
        <w:t>E. 1.2</w:t>
      </w:r>
    </w:p>
    <w:p>
      <w:r>
        <w:t>Der Weiterziehungsentscheid nach Art. 278 Abs. 3 SchKG gilt wie der (abweisende) Arrestentscheid nach Art. 272 Abs. 1 SchKG ( BGE 133 III 589 E. 1 S. 590) als vorsorgliche Massnahme im Sinn von Art. 98 BGG ( BGE 135 III 232 E. 1.2 S. 234); damit kann einzig die Verletzung verfassungsmässiger Rechte gerügt werden. Diesbezüglich gelten die strengen Begründungsanforderungen von Art. 106 Abs. 2 BGG , d.h. es ist anhand der Erwägungen des angefochtenen Entscheids klar und detailliert darzulegen, welche verfassungsmässigen Rechte und inwiefern sie durch den angefochtenen Entscheid verletzt sein sollen ( BGE 134 II 244 E. 2.2 S. 246; 133 II 396 E. 3.1 S. 399).</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wofür wiederum das strenge Rügeprinzip gilt ( Art. 106 Abs. 2 BGG ; BGE 133 II 249 E. 1.4.3 S. 255).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dartun, inwiefern das kantonale Gericht willkürlich entschieden haben soll und der angefochtene Entscheid deshalb an einem qualifizierten und offensichtlichen Mangel leidet ( BGE 134 II 244 E. 2.2 S. 246).</w:t>
      </w:r>
    </w:p>
    <w:p>
      <w:r>
        <w:rPr>
          <w:b/>
        </w:rPr>
        <w:t>E. 2</w:t>
      </w:r>
    </w:p>
    <w:p>
      <w:r>
        <w:t>Vor Bundesgericht nicht rechtsgenüglich angefochten ist, dass die Tochter die Unterhaltsforderung nach Eintritt der Volljährigkeit wirksam an ihre Mutter abgetreten hat. Soweit der Beschwerdeführer pauschal auf seine kantonalen Eingaben verweist und diese dadurch zum Inhalt seiner Eingabe an das Bundesgericht machen will, übersieht er, dass die Begründung in der Beschwerde selber enthalten sein muss ( BGE 133 II 396 E. 3.2 S. 400). Sodann schenkt der Beschwerdeführer mit Bezug auf die in der Beschwerde beanstandete Höhe der Arrestforderung der Rechtsnatur des angefochtenen Entscheides und der damit einhergehenden eingeschränkten Kognitionsbefugnis des Bundesgerichts keine Beachtung. So genügt es den dargelegten Begründungsanforderungen (vorne E. 1.2) nicht, wenn sich der Beschwerdeführer auf die Darlegung seiner eigenen Sicht der Dinge beschränkt, wonach mit seiner Zahlung vom Oktober 2015 die aktuelle Schuld und nicht die vor der Verjährung stehende getilgt worden sei. Damit legt er in keiner Weise dar, dass und inwiefern die Vorinstanz in Willkür verfallen sein soll, wenn sie die Zahlung von Fr. 10'000.-- in Anwendung von Art. 87 Abs. 1 OR auf die fälligen und zum damaligen Zeitpunkt noch nicht verjährten Forderungen für die Monate März bis Dezember 2011 angerechnet hat (zum Willkürbegriff vgl. BGE 134 II 124 E. 4.1 S. 133). Nicht eingetreten werden kann auch auf das weitere Vorbringen des Beschwerdeführers, wonach seine Tochter ihren Unterhalt während zehn Monaten grösstenteils selbst bestritten habe. Diese Sachverhaltsbehauptung findet im angefochtenen Entscheid keine Stütze und ist rein appellatorisch. Der Beschwerdeführer ist in diesem Zusammenhang darauf hinzuweisen, dass das Bundesgericht nicht selbst Beweise abnimmt, um den Sachverhalt festzustellen oder den vorinstanzlich festgestellten Sachverhalt zu ergänzen ( BGE 133 IV 293 E. 3.4.2 S. 295 f.).</w:t>
      </w:r>
    </w:p>
    <w:p>
      <w:r>
        <w:rPr>
          <w:b/>
        </w:rPr>
        <w:t>E. 3</w:t>
      </w:r>
    </w:p>
    <w:p>
      <w:r>
        <w:t>Der Beschwerdeführer ficht die vorinstanzliche Kosten- und Entschädigungsregelung für das kantonale Verfahren nicht selbständig an, sondern nur im Zusammenhang mit dem Ausgang des bundesgerichtlichen Verfahrens. Da auf die Beschwerde mangels hinreichender Begründung nicht einzutreten ist, hat auch der Kostenspruch der Vorinstanz Bestand. Äusserungen dazu erübrigen sich (vgl. Art. 67 und Art. 68 Abs. 5 BGG ).</w:t>
      </w:r>
    </w:p>
    <w:p>
      <w:r>
        <w:rPr>
          <w:b/>
        </w:rPr>
        <w:t>E. 4</w:t>
      </w:r>
    </w:p>
    <w:p>
      <w:r>
        <w:t>Aus den dargelegten Gründen kann auf die Beschwerde nicht eingetreten werden. Bei diesem Ausgang des Verfahrens sind die Gerichtskosten dem Beschwerdeführer aufzuerlegen ( Art. 66 Abs. 1 BGG ). Der Gegenpartei ist kein entschädigungspflichtiger Aufwand entstanden ( Art. 68 Abs. 2 BGG ).</w:t>
      </w:r>
    </w:p>
    <w:p>
      <w:r>
        <w:t>Da der Beschwerdeführer, dessen Wohnsitz sich in Deutschland befindet, trotz Aufforderung (act. 5) kein Zustellungsdomizil in der Schweiz bezeichnet hat, ist in Anwendung von Art. 39 Abs. 3 BGG androhungsgemäss auf eine formelle Eröffnung des Entscheids an ihn zu verzichten. Usanzgemäss wird der Beschwerdeführer immerhin schriftlich darüber informiert, dass ein Urteil ergangen ist (vgl. Urteil 2D_18/2009 vom 22. Juni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