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5A_860/2021 vom 17. Juni 2022</w:t>
      </w:r>
    </w:p>
    <w:p>
      <w:r>
        <w:t>Bundesgericht, 2022-06-17, FR</w:t>
      </w:r>
    </w:p>
    <w:p>
      <w:r>
        <w:rPr>
          <w:b/>
        </w:rPr>
        <w:t xml:space="preserve">Quelle: </w:t>
      </w:r>
      <w:r>
        <w:t>https://mcp.opencaselaw.ch/entscheid/bger_5A_860_2021</w:t>
      </w:r>
    </w:p>
    <w:p>
      <w:r>
        <w:t>FR: TF 5A_860/2021 du 17 juin 2022</w:t>
      </w:r>
    </w:p>
    <w:p>
      <w:r>
        <w:t>IT: TF 5A_860/2021 del 17 giugno 2022</w:t>
      </w:r>
    </w:p>
    <w:p>
      <w:pPr>
        <w:pStyle w:val="Heading2"/>
      </w:pPr>
      <w:r>
        <w:t>Erwägungen</w:t>
      </w:r>
    </w:p>
    <w:p>
      <w:r>
        <w:rPr>
          <w:b/>
        </w:rPr>
        <w:t>E. 1</w:t>
      </w:r>
    </w:p>
    <w:p>
      <w:r>
        <w:t>L'arrêt attaqué, qui confirme un jugement prononçant le divorce des parties par une décision séparée, constitue une décision partielle ( art. 91 let. a LTF ), qui peut et doit être immédiatement portée devant le Tribunal fédéral ( ATF 144 III 298 consid. 6.2.3 et 6.3.1; 137 III 421 consid. 1.1 et la référence; arrêts 5A_565/2020 du 27 mai 2021 consid. 1; 5A_261/2016 et 5A_270/2016 du 20 septembre 2016 consid. 2.2). L'arrêt a été rendu par une juridiction cantonale de dernière instance ayant statué sur recours ( art. 75 LTF ) dans une affaire matrimoniale de nature non pécuniaire ( art. 72 al. 1 LTF ). La recourante a en outre qualité pour recourir ( art. 76 al. 1 LTF ) et a agi dans le délai légal ( art. 100 al. 1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(arrêts 5A_564/2021 du 21 février 2022 consid. 2.3; 4A_40/2021 du 10 juin 2021 consid. 3.2 et les références, publié in SJ 2021 I p. 451).</w:t>
      </w:r>
    </w:p>
    <w:p>
      <w:r>
        <w:rPr>
          <w:b/>
        </w:rPr>
        <w:t>E. 3</w:t>
      </w:r>
    </w:p>
    <w:p>
      <w:r>
        <w:t>La recourante se plaint de la violation de l' art. 59 al. 2 let . e CPC et fait grief à l'autorité cantonale d'avoir déclaré recevable la quatrième demande de jugement</w:t>
      </w:r>
    </w:p>
    <w:p>
      <w:r>
        <w:t>ad separatum présentée par l'intimé.</w:t>
      </w:r>
    </w:p>
    <w:p>
      <w:r>
        <w:rPr>
          <w:b/>
        </w:rPr>
        <w:t>E. 3.1</w:t>
      </w:r>
    </w:p>
    <w:p>
      <w:r>
        <w:t>Il ressort de l'arrêt attaqué que, dans son jugement du 10 février 2021, l'autorité de première instance a considéré que la demande de jugement partiel était recevable au regard de l' art. 59 al. 2 let . e CPC (</w:t>
      </w:r>
    </w:p>
    <w:p>
      <w:r>
        <w:t>ne bis in idem ). Elle a relevé que les époux étaient séparés depuis presque dix ans, que la procédure de divorce, initiée le 29 novembre 2013, soit plus de sept ans auparavant, progressait très lentement et qu'elle faisait l'objet à chaque étape d'appels ou d'innombrables échanges de courriers virulents entre les conseils des parties. L'autorité concernée a encore noté que si, malgré les restrictions sanitaires, les témoins avaient pu être entendus en 2020, il n'en demeurait pas moins que des expertises devaient encore être ordonnées, pour certaines par voie de commission rogatoire, ce qui laissait supposer, dans le meilleur des cas, le prononcé d'une décision de première instance au plus tôt durant le deuxième semestre de 2022. L'époux déposait pour la quatrième fois une demande de divorce</w:t>
      </w:r>
    </w:p>
    <w:p>
      <w:r>
        <w:t>ad separatum en établissant à cette occasion qu'il vivait en concubinage depuis cinq ans et qu'il avait, ainsi que sa compagne, l'intention indiscutable de se marier. L'autorité de première instance a relevé que cette démonstration aurait certes pu se faire plus tôt, mais a considéré qu'elle n'en demeurait pas moins recevable. En procédant à une pesée d'intérêts entre l'authentique souhait de l'époux de se remarier - à mettre en rapport non seulement avec son propre droit constitutionnel au mariage, mais également avec celui de sa compagne -, la durée de la procédure, dont l'issue restait encore très incertaine, et le fait qu'un jugement partiel ne défavoriserait en rien l'épouse, qui avait acquiescé au principe du divorce, il se justifiait dès lors d'entrer en matière sur la requête de l'époux et de prononcer le divorce.</w:t>
      </w:r>
    </w:p>
    <w:p>
      <w:r>
        <w:t>Dans la décision entreprise, la cour cantonale a estimé que, dans le cas d'espèce, l'objet du litige n'était pas identique à celui de la précédente procédure et que le complexe de faits n'était pas le même. Les circonstances avaient en effet évolué en ce sens qu'un acte authentique avait été conclu portant promesse de mariage, que la durée de la procédure de divorce avait augmenté de manière sensible (deux ans entre l'introduction de la troisième demande</w:t>
      </w:r>
    </w:p>
    <w:p>
      <w:r>
        <w:t>ad separatum et la dernière demande) et que la fin de la procédure sur les effets accessoires du divorce s'était éloignée, dès lors que des projets de mission d'expertise et de commissions rogatoires, visant notamment des biens immobiliers sis en U.________, V.________ et W.________, n'avaient été soumis aux parties que le 6 mai 2021 avec un délai au 2 juillet 2021 pour qu'elles se déterminent. Par ailleurs, la conclusion d'un acte authentique, intervenue après le prononcé de l'arrêt cantonal du 18 juin 2019, ne pouvait pas être alléguée dans le cadre de la troisième procédure cantonale, de sorte qu'il s'agissait d'un fait qui n'existait pas au moment de la précédente décision, au sens de la jurisprudence relative au principe</w:t>
      </w:r>
    </w:p>
    <w:p>
      <w:r>
        <w:t>ne bis in idem . Indépendamment de la question de savoir si les intéressés s'étaient déjà mutuellement promis le mariage auparavant, oralement ou par actes concluants, ce qui ne résultait pas de la procédure, la conclusion d'un acte authentique ne dépendait pas de la seule volonté de l'époux, mais également de celle de sa compagne, et il ne s'agissait dès lors pas d'un novum potestatif. Par ailleurs, il n'était pas établi que l'époux et sa fiancée avaient l'intention de conclure un acte authentique avant le 28 août 2019 et aucune question à ce sujet n'avait été posée à l'époux ou à sa compagne lors de l'audience du Tribunal du 14 octobre 2020. Selon les juges cantonaux, la déclaration du témoin, qui s'exprimait en allemand avec le concours d'un interprète, selon laquelle l'intention des intéressés de se marier existait depuis le début de leur relation, ne signifiait pas qu'ils envisageaient de se promettre le mariage devant notaire, ni même qu'un échange oral de promesses ou un simple geste symbolique avait déjà eu lieu. Il n'était donc pas nécessaire d'examiner si les principes sur les nova potestatifs résultant de l' art. 229 CPC , dont se prévalait l'épouse, s'appliquaient également dans le cadre d'une nouvelle procédure, en complément de la jurisprudence du Tribunal fédéral sur l'autorité de la chose jugée.</w:t>
      </w:r>
    </w:p>
    <w:p>
      <w:r>
        <w:rPr>
          <w:b/>
        </w:rPr>
        <w:t>E. 3.2.1</w:t>
      </w:r>
    </w:p>
    <w:p>
      <w:r>
        <w:t>Selon l' art. 114 CC , un époux peut demander le divorce lorsque, au début de la litispendance ou au jour du remplacement de la requête par une demande unilatérale, les conjoints ont vécu séparés pendant deux ans au moins.</w:t>
      </w:r>
    </w:p>
    <w:p>
      <w:r>
        <w:t>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137 III 49 consid. 3.5; 134 III 426 consid. 1.2; cf. implicitement: ATF 144 III 368 consid. 3.5). Le principe de l'unité du jugement de divorce n'exclut toutefois pas une décision partielle limitée au principe du divorce (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Le recourant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 arrêts 5A_689/2019 du 5 mars 2020 consid. 3.1; 5A_426/2018 du 15 novembre 2018 consid. 2.3).</w:t>
      </w:r>
    </w:p>
    <w:p>
      <w:r>
        <w:rPr>
          <w:b/>
        </w:rPr>
        <w:t>E. 3.2.2</w:t>
      </w:r>
    </w:p>
    <w:p>
      <w:r>
        <w:t>Il ressort de la jurisprudence précitée que, lorsque - comme en l'espèce - un époux requiert le prononcé d'une décision partielle limitée au principe du divorce et que l'autre époux s'y oppose, le juge doit procéder à une pesée des intérêts ( ATF 144 III 298 consid. 7). Ce faisant, il doit appliquer les règles du droit et de l'équité ( art. 4 CC ; arrêt 5A_689/2019 du 5 mars 2020 consid. 3.1).</w:t>
      </w:r>
    </w:p>
    <w:p>
      <w:r>
        <w:t>L'autorité cantonale appelée à statuer en équité dispose d'un large pouvoir d'appréciation, que le Tribunal fédéral ne revoit qu'avec retenue. Il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3.3</w:t>
      </w:r>
    </w:p>
    <w:p>
      <w:r>
        <w:t>La recourante s'en prend à la recevabilité de la demande de décision séparée et soutient en substance que l'exception de l'autorité de la chose jugée qu'elle avait dûment soulevée pouvait, dans le cas d'espèce, être valablement opposée à la dernière demande de l'époux de rendre une décision séparée sur le principe du divorce, dès lors notamment que les faits présentés dans cette demande étaient déjà réalisés lors de la procédure précédente et que le recourant avait omis de les alléguer.</w:t>
      </w:r>
    </w:p>
    <w:p>
      <w:r>
        <w:rPr>
          <w:b/>
        </w:rPr>
        <w:t>E. 3.3.1</w:t>
      </w:r>
    </w:p>
    <w:p>
      <w:r>
        <w:t>L' art. 59 al. 1 et al. 2 let . e CPC prévoit que le tribunal n'entre en matière que sur les demandes et les requêtes qui satisfont aux conditions de recevabilité de l'action, à savoir notamment que le litige ne fasse pas l'objet d'une décision entrée en force. Cette disposition s'oppose ainsi à ce que le tribunal entre en matière sur une demande lorsque le litige fait déjà l'objet d'une telle décision. Il s'agit de l'effet de l'autorité de chose jugée attachée à la décision qui est entrée en force de chose jugée formelle. Il y a autorité de la chose jugée lorsque la prétention litigieuse est de contenu identique à celle ayant déjà fait l'objet d'un jugement passé en force (identité de l'objet du litige). Dans l'une et l'autre procédures, les mêmes parties doivent avoir soumis au juge la même prétention en se basant sur les mêmes faits. L'identité des prétentions déduites en justice est déterminée par les conclusions de la demande et le complexe de faits sur lequel les conclusions se fondent ( ATF 144 III 452 consid. 2.3.2; 142 III 210 consid. 2.1; 141 III 257 consid. 3.2; 140 III 278 consid. 3.3; arrêts 4A_525/2021 du 28 avril 2022 consid. 3.3; 4A_449/2020 du 23 mars 2021, non publié in ATF 147 III 345 ; 4A_224/2017 du 27 juin 2017 consid. 2.3.1). En principe, l'autorité de la chose jugée s'étend à tous les faits faisant partie de la cause, y compris les faits et preuves dont le juge n'a pas pu tenir compte parce qu'ils n'ont pas été allégués régulièrement et en temps utile ( ATF 139 III 126 consid. 3.1; 116 II 738 consid. 2b; arrêts 5A_216/2018 du 11 septembre 2018 consid. 5.1.1; 4A_177/2018 du 12 juillet 2018 consid. 4.1 et la jurisprudence citée).</w:t>
      </w:r>
    </w:p>
    <w:p>
      <w:r>
        <w:rPr>
          <w:b/>
        </w:rPr>
        <w:t>E. 3.3.2</w:t>
      </w:r>
    </w:p>
    <w:p>
      <w:r>
        <w:t>La jurisprudence rendue avant l'entrée en vigueur, le 1er janvier 2000, du nouveau droit du divorce, précisait que le principe de l'autorité de la chose jugée ne s'appliquait pas d'une façon absolue en matière de divorce. Selon cette jurisprudence, il n'y avait pas chose jugée lorsque, dans le second procès, étaient invoqués des faits importants survenus depuis le premier jugement ou antérieurs à ce dernier, mais non allégués la première fois. Les faits postérieurs au premier jugement étaient importants si, pris en soi ou concurremment avec les faits allégués dans le premier procès, ils étaient de nature à justifier la demande ( ATF 109 Ib 232 consid. 2b; 94 I 235 consid. 6a; 85 II 57 consid. 2; 78 II 401 consid. 2). Dans les causes en divorce, le juge ne pouvait pas non plus admettre l'identité des actions lorsque, dans le nouveau procès, les parties alléguaient des faits importants et antérieurs au premier jugement, mais que, pour une raison quelconque (par exemple pour ménager l'adversaire), elles n'avaient pas allégué dans le premier procès et sur lesquels l'autorité n'avait pas statué ( ATF 85 II 57 consid. 2). Celui qui plaidait en divorce n'était pas tenu d'alléguer tout ce qu'il pouvait citer à l'instant donné à l'appui de ses conclusions ( ATF 71 II 202 ). Il ne pouvait non plus être l'objet d'une contrainte indirecte à cet égard, en étant empêché d'invoquer dans d'éventuelles procédures ultérieures des faits non allégués dans la première affaire. S'il ne pouvait pas, sans s'exposer à un dommage irréparable, se borner à n'alléguer que les faits qui paraissaient nécessaires pour fonder son action, il se produirait souvent des discussions inutilement vives et les chances éventuelles d'une réconciliation seraient d'emblée gravement compromises. Pour des motifs analogues, il ne fallait pas non plus empêcher le défendeur d'alléguer dans un second procès des faits antérieurs au premier jugement mais qu'il n'avait pas fait valoir à l'époque ( ATF 78 II 401 consid. 2). La jurisprudence rendue avant le 1er janvier 2000 précisait encore que l'autorité de chose jugée d'un jugement rejetant une demande en divorce signifiait seulement que la prétention en divorce déclarée infondée par ce jugement ne pouvait pas être invoquée à nouveau en justice, et cette prétention était individualisée par les faits qui avaient été effectivement invoqués à son appui mais non par l'ensemble des faits qui pouvaient être invoqués. L'exception de la chose jugée en matière de divorce ne pouvait plus avoir de succès que si une nouvelle procédure de divorce était engagée de manière abusive peu après la clôture d'une procédure antérieure ( ATF 85 II 57 consid. 2).</w:t>
      </w:r>
    </w:p>
    <w:p>
      <w:r>
        <w:rPr>
          <w:b/>
        </w:rPr>
        <w:t>E. 3.3.3</w:t>
      </w:r>
    </w:p>
    <w:p>
      <w:r>
        <w:t>En l'espèce, il faut considérer que le caractère particulier des motifs dont la réalisation est nécessaire pour rendre un jugement séparé sur le principe du divorce (cf.</w:t>
      </w:r>
    </w:p>
    <w:p>
      <w:r>
        <w:t>supra consid. 3.2.1) s'oppose à ce que l'on examine la question de l'autorité de la chose jugée sous l'angle strict de " faits nouveaux ". Les motifs concernés ne reposent en effet pas sur des faits passés et sur lesquels il ne saurait être revenu mais sur des faits en constante évolution. Ainsi, la durée de suspension de la vie commune au sens de l' art. 114 CC - motif invoqué en l'espèce - ainsi que la durée du traitement de la procédure de divorce revêtent un caractère temporel évolutif et varient par essence selon chaque demande dans laquelle on les invoque. De même, il n'est pas raisonnablement possible de soutenir que, avec l'écoulement du temps, la volonté d'un époux de se marier ne subit aucune variation dans son intensité. Ce n'est ainsi pas parce que, dans une procédure antérieure, un époux aurait omis d'alléguer sa volonté de divorcer ou se serait prévalu en vain de celle-ci qu'il devrait être empêché de (re) présenter ce motif dans une nouvelle procédure. On peut ainsi retenir que, même dans le cas où les faits invoqués sont pour l'essentiel identiques à ceux présentés dans le cadre d'une procédure antérieure, ils peuvent néanmoins prendre un sens nouveau en raison d'autres faits survenus depuis lors ou même en raison du seul écoulement du temps depuis le jugement précédent (JEAN-FRANÇOIS POUDRET, La sanction de l'autorité de la chose jugée en matière de divorce, in Festschrift zum 70. Geburtstag von Max Guldener, 1973, p. 253 ss [268]). Il sied par ailleurs de préciser que la solution retenue se justifie également sous l'angle du droit constitutionnel au mariage ( art. 14 Cst. ), dès lors que le refus de prononcer un jugement partiel limité au principe du divorce est susceptible de porter atteinte à ce droit, l'époux ne pouvant pas contracter une nouvelle union tant qu'un précédent mariage n'a pas été définitivement dissous ( art. 96 CC ; arrêts 5A_689/2019 du 5 mars 2020 consid. 1.1.2; 5A_554/2019 du 21 novembre 2019 consid. 1.1.3; 5A_845/2016 du 2 mars 2018 consid. 1.1.3).</w:t>
      </w:r>
    </w:p>
    <w:p>
      <w:r>
        <w:t>Il suit de ce qui précède qu'un jugement refusant le prononcé séparé du divorce échappe à toute portée absolue de l'autorité de la chose jugée, étant néanmoins précisé qu'il convient de réserver l'abus de droit au sens de l' art. 2 al. 2 CC , comme l'avait déjà fait le Tribunal fédéral dans sa jurisprudence antérieure au 1er janvier 2000 (cf.</w:t>
      </w:r>
    </w:p>
    <w:p>
      <w:r>
        <w:t>supra consid. 3.3.2).</w:t>
      </w:r>
    </w:p>
    <w:p>
      <w:r>
        <w:rPr>
          <w:b/>
        </w:rPr>
        <w:t>E. 3.3.4</w:t>
      </w:r>
    </w:p>
    <w:p>
      <w:r>
        <w:t>En conclusion, c'est à tort que la recourante soutient que la nouvelle demande de l'intimé aurait dû être frappée d'irrecevabilité pour cause d'autorité de la chose jugée. Le grief tiré de la violation de l' art. 59 al. 2 let . e CPC doit dès lors être rejeté et la décision entreprise confirmée par substitution de motifs en tant qu'elle porte sur la question de la recevabilité de la demande.</w:t>
      </w:r>
    </w:p>
    <w:p>
      <w:r>
        <w:rPr>
          <w:b/>
        </w:rPr>
        <w:t>E. 3.4</w:t>
      </w:r>
    </w:p>
    <w:p>
      <w:r>
        <w:t>Par ailleurs, la réalisation, sur le fond, des conditions nécessaires au prononcé d'une décision séparée sur le principe du divorce n'est pas valablement contestée par la recourante.</w:t>
      </w:r>
    </w:p>
    <w:p>
      <w:r>
        <w:t>Ainsi, dans son mémoire, la recourante consacre un long développement à la question de la " validité " de la promesse de mariage dont s'est prévalu l'intimé, en vain toutefois, dès lors que la validité de cet acte n'est en l'espèce pas décisive pour pouvoir retenir, sur la base des éléments au dossier, la volonté de l'époux de se remarier. Pour ce même motif, l'argumentation de la recourante, invoquée sous l'angle des art. 2 al. 2 CC et 52 CPC, selon laquelle l'institution de la forme authentique pour l'instrumentalisation de cet acte aurait été utilisé de manière abusive, n'est pas pertinente.</w:t>
      </w:r>
    </w:p>
    <w:p>
      <w:r>
        <w:t>Au demeurant, il ressort de l'arrêt querellé que, sur le fond, l'autorité cantonale a fait sien le raisonnement de l'autorité de première instance s'agissant de la pesée des intérêts en présence et qu'elle a confirmé le jugement de première instance en tant qu'il prononçait le divorce des parties. Il en ressort également que, dans son acte d'appel du 15 mars 2021, la recourante n'avait pas critiqué la pesée des intérêts effectuée par le premier juge. Or, la recourante ne s'en prend pas à cette constatation. Par conséquent, les griefs soulevés dans son recours concernant la réalisation des conditions de fond du prononcé d'une décision séparée sur le principe du divorce doivent être déclarés irrecevables, faute pour la recourante d'avoir démontré qu'elle avait dûment épuisé ses griefs devant l'autorité précédente (cf.</w:t>
      </w:r>
    </w:p>
    <w:p>
      <w:r>
        <w:t>supra consid. 2.3). De surcroît, il n'apparaît au demeurant pas que, sur le fond, les considérations de l'autorité de première instance relatives à l'admission du prononcé du divorce par décision séparée, reprises par l'autorité cantonale, trahiraient un abus du pouvoir d'appréciation au sens de l' art. 4 CC (cf.</w:t>
      </w:r>
    </w:p>
    <w:p>
      <w:r>
        <w:t>supra consid. 3.2.2).</w:t>
      </w:r>
    </w:p>
    <w:p>
      <w:r>
        <w:rPr>
          <w:b/>
        </w:rPr>
        <w:t>E. 4</w:t>
      </w:r>
    </w:p>
    <w:p>
      <w:r>
        <w:t>La recourante se plaint d'une violation du principe de disposition ( art. 58 al. 1 CPC ).</w:t>
      </w:r>
    </w:p>
    <w:p>
      <w:r>
        <w:rPr>
          <w:b/>
        </w:rPr>
        <w:t>E. 4.1</w:t>
      </w:r>
    </w:p>
    <w:p>
      <w:r>
        <w:t>Elle reproche en substance à l'autorité cantonale de ne pas avoir repris la conclusion de l'intimé tendant à ce qu'il soit dit que les mesures provisionnelles en vigueur continueraient de déployer leurs effets jusqu'au prononcé de la décision ultérieure sur les questions de la contribution d'entretien et de la liquidation du régime matrimonial des époux. Elle indique également que, dans sa réponse du 12 juin 2020, elle avait conclu à ce qu'il soit donné acte à l'intimé de ce qu'il s'engageait à maintenir les contributions d'entretien dues sur mesures provisionnelles jusqu'au prononcé de la décision ultérieure sur les questions de la contribution d'entretien et de la liquidation du régime matrimonial (cf.</w:t>
      </w:r>
    </w:p>
    <w:p>
      <w:r>
        <w:t>supra let. B.e).</w:t>
      </w:r>
    </w:p>
    <w:p>
      <w:r>
        <w:rPr>
          <w:b/>
        </w:rPr>
        <w:t>E. 4.2</w:t>
      </w:r>
    </w:p>
    <w:p>
      <w:r>
        <w:t>Dans l'arrêt querellé, la cour cantonale a relevé que l'épouse avait fait grief à l'autorité de première instance de ne pas avoir statué sur " les conclusions communes des parties " au sujet du sort des contributions à son entretien fixées sur mesures provisionnelles, en cas de prononcé du divorce</w:t>
      </w:r>
    </w:p>
    <w:p>
      <w:r>
        <w:t>ad separatum . Références jurisprudentielles et doctrinales à l'appui, la juridiction précédente a indiqué que, en règle générale, l'entrée en vigueur de la décision au fond entraînait la caducité des mesures provisionnelles ( art. 268 al. 2 CPC ) mais que, selon l' art. 276 al. 3 CPC , de telles mesures pouvaient encore être ordonnées après la dissolution du mariage, tant que la procédure relative aux effets du divorce n'était pas close. Cette disposition impliquait non seulement la possibilité de mesures provisionnelles nouvelles, mais également la persistance des mesures ordonnées avant la dissolution du mariage, cette dernière n'étant pas en soi un élément suffisant à justifier un réexamen du régime provisionnel existant. Les mesures provisionnelles postérieures à la dissolution du mariage continuaient par ailleurs à obéir aux règles régissant les rapports entre époux.</w:t>
      </w:r>
    </w:p>
    <w:p>
      <w:r>
        <w:t>Sur la base de ce qui précède, les juges cantonaux ont considéré que c'était à juste titre que le premier juge n'avait pas donné suite à une conclusion de l'intimé qui ne faisait que reprendre la solution légale et jurisprudentielle. Ils ont en outre précisé que, contrairement à ce que soutenait l'épouse, les conclusions des parties n'étaient pas " convergentes ", puisque celle-ci avait demandé au Tribunal de donner acte à l'époux d'un engagement qu'il n'avait pas pris formellement. L'autorité cantonale a ainsi confirmé le jugement de première instance en tant qu'il déboutait les parties de toutes autres conclusions (ch. 7 du dispositif).</w:t>
      </w:r>
    </w:p>
    <w:p>
      <w:r>
        <w:rPr>
          <w:b/>
        </w:rPr>
        <w:t>E. 4.3</w:t>
      </w:r>
    </w:p>
    <w:p>
      <w:r>
        <w:t>En l'espèce, la cour cantonale ne s'est pas méprise en retenant que la conclusion de l'intimé ne faisait que reprendre la solution légale, transposée au cadre du jugement séparé sur le principe du divorce. En effet,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(cf. ATF 145 III 36 consid. 2.4, selon lequel les mesures provisionnelles s'appliquent jusqu'à la fin de la procédure de divorce, que le mariage soit ou non déjà dissous; 128 III 121 consid. 3c.bb; arrêts 5A_517/2020 du 4 octobre 2021 consid. 3.2.2; 5A_642/2020 du 3 décembre 2020 consid. 3.1; 5A_631/2018 du 15 février 2019 consid. 7.2.2.3; 5A_725/2008 et 5A_733/2008 du 6 août 2009 consid. 3.1.3; parmi plusieurs: LEUBA/MEIER/PAPAUX VAN DELDEN, Droit du divorce, 2021, n° 2270 p. 869; SAMUEL ZOGG, «Vorsorgliche» Unterhaltszahlungen im Familienrecht, in FamPra.ch 1/2018 p. 47-101, p. 67; MARCEL LEUENBERGER, in FamKomm, Scheidung, Band II: Anhänge, 4e éd. 2022, n° 13 ad art. 276 CPC ; DANIEL BÄHLER, in Basler Kommentar, Schweizerische Zivilprozessordnung, 3e éd. 2017, n° 12 ad art. 276 CPC ). Ainsi, en cas de poursuite de la procédure après le prononcé du divorce, il n'est en principe pas nécessaire de préciser dans le jugement que les mesures provisionnelles subsisteront (arrêt 5P.121/2002 du 12 juin 2002 consid. 3.1; LEUBA/MEIER/PAPAUX VAN DELDEN, loc. cit.; ZOGG, loc. cit.; LEUENBERGER, loc. cit.; ANNETTE SPYCHER, in Berner Kommentar, Schweizerische Zivilprozessordnung, Art. 1-352 und Art. 400-406, 2012, n° 22 ad art. 276 CPC ). Par ailleurs, c'est à raison que la cour cantonale a retenu que l'engagement que l'épouse souhaitait voir repris dans le jugement séparé sur le principe du divorce ne correspondait pas à celui de l'époux. En effet, les conclusions prises par celui-ci pouvaient raisonnablement être comprises dans le sens précité et non dans celui retenu par l'épouse, à savoir que les mesures prises devraient demeurer immuables jusqu'à la fin de la procédure de divorce. Il suit de là que le grief est infondé.</w:t>
      </w:r>
    </w:p>
    <w:p>
      <w:r>
        <w:rPr>
          <w:b/>
        </w:rPr>
        <w:t>E. 5</w:t>
      </w:r>
    </w:p>
    <w:p>
      <w:r>
        <w:t>En définitive, le recours est rejeté dans la mesure où il est recevable.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