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860/2020 vom 20. Oktober 2020</w:t>
      </w:r>
    </w:p>
    <w:p>
      <w:r>
        <w:t>Bundesgericht, 2020-10-20, DE</w:t>
      </w:r>
    </w:p>
    <w:p>
      <w:r>
        <w:rPr>
          <w:b/>
        </w:rPr>
        <w:t xml:space="preserve">Quelle: </w:t>
      </w:r>
      <w:r>
        <w:t>https://mcp.opencaselaw.ch/entscheid/bger_5A_860_2020</w:t>
      </w:r>
    </w:p>
    <w:p>
      <w:r>
        <w:t>FR: TF 5A 860/2020 du 20 octobre 2020</w:t>
      </w:r>
    </w:p>
    <w:p>
      <w:r>
        <w:t>IT: TF 5A 860/2020 del 20 ottobre 2020</w:t>
      </w:r>
    </w:p>
    <w:p>
      <w:pPr>
        <w:pStyle w:val="Heading2"/>
      </w:pPr>
      <w:r>
        <w:t>Regeste</w:t>
      </w:r>
    </w:p>
    <w:p>
      <w:r>
        <w:t>Ehescheidung | Familienrecht</w:t>
      </w:r>
    </w:p>
    <w:p>
      <w:pPr>
        <w:pStyle w:val="Heading2"/>
      </w:pPr>
      <w:r>
        <w:t>Erwägungen</w:t>
      </w:r>
    </w:p>
    <w:p>
      <w:r>
        <w:rPr>
          <w:b/>
        </w:rPr>
        <w:t>E. 1</w:t>
      </w:r>
    </w:p>
    <w:p>
      <w:r>
        <w:t>Angefochten ist ein selbständig eröffneter Zwischenentscheid, der nur unter den besonderen Voraussetzungen von Art. 93 Abs. 1 BGG direkt beim Bundesgericht angefochten werden kann ( BGE 144 III 475 E. 1.2 S. 479; 142 III 798 E. 2.2 S. 801), wobei die entsprechenden Voraussetzungen vom Beschwerdeführer darzulegen sind ( BGE 141 III 80 E. 1.2 S. 81; 137 III 324 E. 1.1 S. 329). Der Beschwerdeführer äussert sich mit keinem Wort dazu. Schon daran scheitert die Beschwerde. Im Übrigen wäre sie aber auch in der Sache selbst offensichtlich nicht hinreichend begründet (dazu E. 2).</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Der Beschwerdeführer erneuert sinngemäss sein Vorbringen, Rechtsanwalt Leimbacher sei in einem Strafprozess bezüglich seines Vaters tätig gewesen, und moniert, dass das Obergericht zu wenig Abklärungen getroffen habe und dem Anwalt mehr glaube als ihm, obwohl Mitbeteiligte nie freiwillig ihre Mitschuld eingestünden. Damit wendet er sich sinngemäss gegen die Sachverhaltsfeststellung des Bezirks- und des Obergerichtes, wonach eine Kontrolle in den Registraturen ergab, dass vor dem Bezirksgericht tatsächlich ein entsprechendes Strafverfahren geführt wurde, wobei aber Rechtsanwalt Leimbacher darin nicht involviert war. Die Ausführungen in der Beschwerde erfolgen in appellatorischer und damit in unzulässiger Form, weshalb auf sie nicht eingetreten werden könnte. In rechtlicher Hinsicht erfolgt sodann keine Auseinandersetzung mit den Erwägungen des angefochtenen Entscheides, so dass die Beschwerde auch in dieser Hinsicht unbegründet bliebe. Auf die Behauptung, Rechtsanwalt Leimbacher sei befangen, könnte, selbst wenn über die fehlenden Ausführungen zur Anfechtbarkeit des obergerichtlichen Entscheides hinweggesehen würde (dazu E. 1), nach dem Gesagten nicht eingetreten werden und es wäre auch nicht ansatzweise ersichtlich, inwiefern dies der Fall sein sollte.</w:t>
      </w:r>
    </w:p>
    <w:p>
      <w:r>
        <w:rPr>
          <w:b/>
        </w:rPr>
        <w:t>E. 4</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