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859/2016 vom 1. Mai 2017</w:t>
      </w:r>
    </w:p>
    <w:p>
      <w:r>
        <w:t>Bundesgericht, 2017-05-01, IT</w:t>
      </w:r>
    </w:p>
    <w:p>
      <w:r>
        <w:rPr>
          <w:b/>
        </w:rPr>
        <w:t xml:space="preserve">Quelle: </w:t>
      </w:r>
      <w:r>
        <w:t>https://mcp.opencaselaw.ch/entscheid/bger_5A_859_2016</w:t>
      </w:r>
    </w:p>
    <w:p>
      <w:r>
        <w:t>FR: TF 5A 859/2016 du 1 mai 2017</w:t>
      </w:r>
    </w:p>
    <w:p>
      <w:r>
        <w:t>IT: TF 5A 859/2016 del 1 maggio 2017</w:t>
      </w:r>
    </w:p>
    <w:p>
      <w:pPr>
        <w:pStyle w:val="Heading2"/>
      </w:pPr>
      <w:r>
        <w:t>Regeste</w:t>
      </w:r>
    </w:p>
    <w:p>
      <w:r>
        <w:t>rigetto definitivo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In concreto, la Corte cantonale ha congiunto le procedure ricorsuali, riguardanti lo stesso complesso di fatti e l'applicazione delle medesime norme giuridiche, ed ha statuito sulla vertenza con un unico giudizio. Conformemente all' art. 52 LTF , si giustifica pertanto di sommare i crediti posti in esecuzione, sicché il citato valore litigioso è raggiunto (cfr. sentenze 5A_216/2013 del 24 luglio 2013 consid. 1.2; 4A_530/2012 del 17 dicembre 2012 consid. 1 e 5A_774/2008 del 2 novembre 2009 consid. 2.3.1). Il ricorrente è risultato soccombente nella procedura cantonale di reclamo ed è pertanto legittimato a ricorrere al Tribunale federale ( art. 76 cpv. 1 LTF ) contro la menzionata sentenza di ultima istanza cantonale ( art. 75 cpv. 1 LTF ). Il gravame è tempestivo ( art. 100 cpv. 1 LTF ).</w:t>
      </w:r>
    </w:p>
    <w:p>
      <w:r>
        <w:rPr>
          <w:b/>
        </w:rPr>
        <w:t>E. 1.2</w:t>
      </w:r>
    </w:p>
    <w:p>
      <w:r>
        <w:t>Con il ricorso in materia civile può in particolare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w:t>
      </w:r>
    </w:p>
    <w:p>
      <w:r>
        <w:rPr>
          <w:b/>
        </w:rPr>
        <w:t>E. 2.1</w:t>
      </w:r>
    </w:p>
    <w:p>
      <w:r>
        <w:t>Il ricorrente sostiene che il diritto dell'Ente pubblico di riscuotere le imposte federali e cantonali sarebbe prescritto giusta l' art. 121 cpv. 3 LIFD (RS 642.11) e l'art. 194 cpv. 3 della legge tributaria ticinese, del 21 giugno 1994 (LT; RL 10.2.1.1), essendo trascorsi i rispettivi termini decennali dalla fine degli anni in cui le tassazioni sono cresciute in giudicato.</w:t>
      </w:r>
    </w:p>
    <w:p>
      <w:r>
        <w:rPr>
          <w:b/>
        </w:rPr>
        <w:t>E. 2.2</w:t>
      </w:r>
    </w:p>
    <w:p>
      <w:r>
        <w:t>Se il credito è fondato su una decisione giudiziaria esecutiva, il creditore può chiedere in giudizio il rigetto definitivo dell'opposizione ( art. 80 cpv. 1 LEF ).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art. 81 cpv. 1 LEF ). La Corte cantonale ha rilevato che, nella fattispecie, l'unico quesito litigioso è quello di sapere se una volta spirato il termine assoluto di riscossione, di dieci anni, previsto dagli art. 194 cpv. 3 LT e 121 cpv. 3 LIFD, il credito fiscale può ancora essere posto in esecuzione qualora prima di tale scadenza l'autorità fiscale abbia ottenuto un attestato di carenza di beni. Ha al riguardo richiamato l'art. 149a cpv. 1 primo periodo LEF, secondo cui il credito accertato mediante un attestato di carenza di beni si prescrive in venti anni dal rilascio dello stesso. La precedente istanza ha quindi rilevato che la giurisprudenza del Tribunale federale aveva già avuto modo di stabilire che l' art. 149a cpv. 1 LEF si applica anche ai crediti di diritto pubblico ed ha quale effetto di fare decorrere un nuovo termine di prescrizione ventennale dal rilascio dell'attestato di carenza di beni, tranne nel caso in cui la legislazione specifica ne esclude l'applicabilità. Richiamando la sentenza pubblicata in DTF 137 II 17 , la Corte cantonale ha precisato che una simile eccezione non sussiste per le imposte dirette ed ha rilevato che anche la dottrina dominante segue tale orientamento. Ha quindi rilevato che, in quest'ambito, la procedura esecutiva è specificatamente disciplinata dalla LEF ed ha concluso che, per l'esecuzione di crediti fiscali accertati mediante attestati di carenza di beni, l' art. 149a cpv. 1 LEF costituisce una lex specialis rispetto agli art. 194 cpv. 3 LT e 121 cpv. 3 LIFD.</w:t>
      </w:r>
    </w:p>
    <w:p>
      <w:r>
        <w:rPr>
          <w:b/>
        </w:rPr>
        <w:t>E. 2.3</w:t>
      </w:r>
    </w:p>
    <w:p>
      <w:r>
        <w:t>Il ricorrente rimprovera alla Corte cantonale di non avere fornito alcuna motivazione a sostegno della sua tesi giuridica, la quale sembrerebbe contrastare con il fatto che la LEF è entrata in vigore il 1° gennaio 1892, anteriormente alla legislazione fiscale attualmente vigente. Sostiene che, contrariamente a quanto ritenuto nella sentenza impugnata, la LEF costituirebbe una legge di carattere generale che non potrebbe modificare i termini di prescrizione previsti dal diritto fiscale. Questa argomentazione non tiene conto di quanto esposto ai considerandi n. 6.1 e 6.2 della sentenza impugnata, in cui i giudici cantonali hanno puntualmente spiegato i motivi per cui i crediti fiscali in discussione, accertati mediante attestati di carenza di beni, soggiacciono alla prescrizione prevista dal diritto esecutivo. Il ricorrente si limita ad esporre una sua diversa opinione, non supportata dalla giurisprudenza e dalla dottrina, e non si confronta con i numerosi riferimenti indicati al proposito dalla Corte cantonale. Disattende inoltre che l' art. 149a cpv. 1 LEF non risale all'entrata in vigore della LEF, bensì alla modifica del 16 dicembre 1994, in vigore dal 1° gennaio 1997 (RU 1995 1227). Gli esposti considerandi del giudizio impugnato sono conformi alla giurisprudenza, sì che in questa sede si può rinviarvi in virtù dell' art. 109 cpv. 3 LTF . Il Tribunale federale ha infatti già avuto modo di precisare che le disposizioni della LEF sono di principio applicabili anche all'esecuzione di crediti di diritto pubblico, quali in particolare le imposte e i tributi pubblici. Nel caso delle imposte dirette è riconosciuto che il rilascio di un attestato di carenza di beni comporta quindi accanto alle conseguenze del diritto esecutivo, pure l'applicabilità dello specifico termine di prescrizione di venti anni secondo l' art. 149a cpv. 1 LEF ( DTF 137 II 17 consid. 2.5 e 2.6; BEUSCH, in: Bundesgesetz über die direkte Bundessteuer, 3aed. 2017, n. 7a all' art. 121 LIFD ; MASMEJEAN-FEY/VIANIN, in: Commentaire romand, Impôt fédéral direct, 2aed. 2017, n. 5b all' art. 121 LIFD ).</w:t>
      </w:r>
    </w:p>
    <w:p>
      <w:r>
        <w:rPr>
          <w:b/>
        </w:rPr>
        <w:t>E. 2.4</w:t>
      </w:r>
    </w:p>
    <w:p>
      <w:r>
        <w:t>Il ricorrente insiste essenzialmente sui termini di prescrizione degli art. 194 cpv. 3 LT e 121 cpv. 3 LIFD, ma non sostiene che i crediti posti in esecuzione sarebbero prescritti in applicazione dell' art. 149a cpv. 1 LEF . A ragione. Secondo l'art. 2 cpv. 5 delle disposizioni finali della modifica del 16 dicembre 1994 della LEF, la prescrizione dei crediti accertati mediante un attestato di carenza di beni rilasciato precedentemente all'entrata in vigore della modifica legislativa, il 1° gennaio 1997, comincia a decorrere da questa data. Nella fattispecie, gli attestati di carenza di beni alla base delle esecuzioni litigiose sono stati rilasciati prima dell'entrata in vigore della nuova legge, sicché la prescrizione inizia a decorrere dal 1° gennaio 1997 (cfr. sentenza 5P.434/2005 del 21 marzo 2006 consid. 2.3). I precetti esecutivi del febbraio del 2016 hanno poi interrotto la prescrizione ed hanno fatto decorrere un nuovo termine ventennale di prescrizione ( art. 135 n. 2 CO ; messaggio del Consiglio federale concernente la revisione della LEF, dell'8 maggio 1991, FF 1991 III 1 pag. 74; HUBER, in: Basler Kommentar, Bundesgesetz über Schuldbetreibung und Konkurs I, 2aed. 2010, n. 3 e 4 all' art. 149a LEF ; REY-MERMET, in: Commentaire romand, Poursuite et faillite, 2005, n. 2 all' art. 149a LEF ). In tali circostanze, il ricorrente non può pertanto prevalersi validamente dell'eccezione di prescrizione dinanzi al giudice del rigetto.</w:t>
      </w:r>
    </w:p>
    <w:p>
      <w:r>
        <w:rPr>
          <w:b/>
        </w:rPr>
        <w:t>E. 3.1</w:t>
      </w:r>
    </w:p>
    <w:p>
      <w:r>
        <w:t>A titolo abbondanziale, il ricorrente sostiene che, quale debitore soggetto alla procedura di esecuzione in via di pignoramento, subirebbe una disparità di trattamento rispetto al debitore sottoposto alla procedura di fallimento. Rileva che diversamente dal caso in esame, contro una nuova esecuzione fondata su un attestato di carenza di beni, il fallito potrebbe sollevare l'eccezione di non ritorno a miglior fortuna ( art. 265 cpv. 2 LEF ).</w:t>
      </w:r>
    </w:p>
    <w:p>
      <w:r>
        <w:rPr>
          <w:b/>
        </w:rPr>
        <w:t>E. 3.2</w:t>
      </w:r>
    </w:p>
    <w:p>
      <w:r>
        <w:t>Con questa argomentazione il ricorrente mette sostanzialmente in discussione, peraltro in modo generico, la costituzionalità dell' art. 149a cpv. 1 LEF . Tuttavia, in virtù dell' art. 190 Cost. , le leggi federali sono determinanti per il Tribunale federale e per le altre autorità incaricate dell'applicazione del diritto. Questa Corte è quindi tenuta in ogni caso ad applicare la citata disposizione a prescindere dall'esame della sua costituzionalità (cfr. DTF 141 II 338 consid. 3.1; 136 II 120 consid. 3.5.1; 136 I 49 consid. 3.1). In queste condizioni, non si giustifica di vagliare oltre la censura.</w:t>
      </w:r>
    </w:p>
    <w:p>
      <w:r>
        <w:rPr>
          <w:b/>
        </w:rPr>
        <w:t>E. 4</w:t>
      </w:r>
    </w:p>
    <w:p>
      <w:r>
        <w:t>Ne segue che il ricorso deve essere respinto nella misura della sua ammissibilità. La domanda di assistenza giudiziaria deve essere respinta, essendo il gravame fin dall'inizio privo di possibilità di successo ( art. 64 cpv. 1 LTF ). Le spese giudiziarie sono di conseguenza poste a carico del ricorrente, in considerazione della sua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