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859/2015 vom 18. November 2015</w:t>
      </w:r>
    </w:p>
    <w:p>
      <w:r>
        <w:t>Bundesgericht, 2015-11-18, DE</w:t>
      </w:r>
    </w:p>
    <w:p>
      <w:r>
        <w:rPr>
          <w:b/>
        </w:rPr>
        <w:t xml:space="preserve">Quelle: </w:t>
      </w:r>
      <w:r>
        <w:t>https://mcp.opencaselaw.ch/entscheid/bger_5A_859_2015</w:t>
      </w:r>
    </w:p>
    <w:p>
      <w:r>
        <w:t>FR: TF 5A 859/2015 du 18 novembre 2015</w:t>
      </w:r>
    </w:p>
    <w:p>
      <w:r>
        <w:t>IT: TF 5A 859/2015 del 18 novembre 2015</w:t>
      </w:r>
    </w:p>
    <w:p>
      <w:pPr>
        <w:pStyle w:val="Heading2"/>
      </w:pPr>
      <w:r>
        <w:t>Regeste</w:t>
      </w:r>
    </w:p>
    <w:p>
      <w:r>
        <w:t>Kollokation | Schuldbetreibungs- und Konkursrecht</w:t>
      </w:r>
    </w:p>
    <w:p>
      <w:pPr>
        <w:pStyle w:val="Heading2"/>
      </w:pPr>
      <w:r>
        <w:t>Erwägungen</w:t>
      </w:r>
    </w:p>
    <w:p>
      <w:r>
        <w:rPr>
          <w:b/>
        </w:rPr>
        <w:t>E. 1.1</w:t>
      </w:r>
    </w:p>
    <w:p>
      <w:r>
        <w:t>Angefochten ist ein Endentscheid über eine Kollokationsklage, konkret eine Wegweisungsklage nach Art. 250 Abs. 2 SchKG betreffend eine Forderung nach Bundeszivilrecht, die der Beschwerde in Zivilsachen zugänglich ist. Die gesetzliche Streitwertgrenze ist erreicht ( Art. 74 Abs. 1 lit. b BGG ; BGE 138 III 675 E. 3.1 S. 676). Die Eingabe der Beschwerdeführerin ist als Beschwerde in Zivilsachen entgegen zu nehmen ( Art. 72 Abs. 1 BGG ; BGE 135 III 545 E. 1 S. 547).</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Beschwerde gibt das Rechtsmittel gegen die Anfechtung eines Nichteintretensentscheides infolge Fehlens einer Prozessvoraussetzung. Nicht Gegenstand des vorliegenden Verfahrens bilden hingegen die Konkursöffnung über C.A.________ und die Erstellung des Kollokationsplanes sowie die Handlungsfähigkeit der Stiftung B.________. Auf die diesbezüglichen Anträge und Vorbringen der Beschwerdeführerin ist nicht einzugehen.</w:t>
      </w:r>
    </w:p>
    <w:p>
      <w:r>
        <w:rPr>
          <w:b/>
        </w:rPr>
        <w:t>E. 2.1</w:t>
      </w:r>
    </w:p>
    <w:p>
      <w:r>
        <w:t>Die Vorinstanz hat - entsprechend der Rechtsmittelbelehrung der bei ihr angefochtenen Verfügung - die als Beschwerde bezeichnete Eingabe der Beschwerdeführerin als Berufung entgegengenommen. Die unrichtige Bezeichnung der Rechtsmitteleingabe schade ihr nicht, umso mehr als es sich um eine laienhaftes Versehen handle. Zudem hat die Vorinstanz diese Eingabe auch unter den Voraussetzungen einer Beschwerde geprüft. Ihrer Ansicht nach genügt die Eingabe der Beschwerdeführerin den Anforderungen an keines der beiden Rechtsmittel. Es fehle - so die Vorinstanz - jede Auseinandersetzung mit der erstinstanzlichen Begründung, wonach auf die Klage infolge Nichtleistung der Prozesskostensicherheit nicht einzutreten gewesen war. Auch von der Sache her wäre die Berufung ohnehin als unbegründet abzuweisen gewesen.</w:t>
      </w:r>
    </w:p>
    <w:p>
      <w:r>
        <w:rPr>
          <w:b/>
        </w:rPr>
        <w:t>E. 2.2</w:t>
      </w:r>
    </w:p>
    <w:p>
      <w:r>
        <w:t>Nach Ansicht der Beschwerdeführerin unterlag sie bei der Bezeichnung ihrer Eingabe keinem Versehen. Diese ging vielmehr auf ihre fehlenden juristischen Kenntnisse zurück. Daraus folge, dass sie den Prozess nicht selber führen konnte, weshalb ihr das Gericht gemäss Art. 69 Abs. 1 ZPO einen Beistand hätte ernennen und die unentgeltliche Rechtspflege gewähren müssen. Da die Vorinstanz die Eingabe zwar als Berufung entgegengenommen hatte, zu Gunsten der wohl prozesserfahrenen Beschwerdeführerin aber auch als Beschwerde geprüft hatte, brauchte sie die Ernennung eines Beistandes in diesem Zusammenhang nicht zu prüfen. Zudem sind die gesetzlichen Anforderungen an ein Rechtsmittel, nämlich der Antrag und die Begründung, nach Ansicht der Vorinstanz, bei Laien geringer. Jedoch müsse vom Rechtsuchenden wenigstens rudimentär dargelegt werden, an welchen Mängeln der angefochtene Entscheid leide und wie demzufolge zu entscheiden sei.</w:t>
      </w:r>
    </w:p>
    <w:p>
      <w:r>
        <w:rPr>
          <w:b/>
        </w:rPr>
        <w:t>E. 2.3</w:t>
      </w:r>
    </w:p>
    <w:p>
      <w:r>
        <w:t>Statt sich mit diesen Darlegungen der Vorinstanz auseinanderzusetzen, kritisiert die Beschwerdeführerin in allgemeiner Weise, dass die Vorinstanz auf ihr Rechtsmittel nicht eingetreten sei und macht in diesem Zusammenhang insbesondere die Verletzung der Rechtsweggarantie ( Art. 29a BV ) geltend. Soweit die Beschwerdeführerin meint, die Vorinstanz hätte auf ihre Eingabe ungeachtet aller prozessualen Anforderungen eintreten müssen, kann ihr nicht gefolgt werden. Ebenfalls unbeachtet bleiben die gegen die Erstinstanz erhobenen Vorwürfe. Da die Vorinstanz auf das Rechtsmittel der Beschwerdeführerin - wie bereits ausgeführt - nicht eintreten konnte, blieb ihr die Überprüfung der erstinstanzlichen Verfügung verwehrt. Mit anderen Worten bildete die Behauptung der Beschwerdeführerin, die Erstinstanz hätte auf ihre Klageänderung eingehen müssen, gar nicht Gegenstand des nunmehr angefochtenen Beschlusses. Daher kann das Bundesgericht auf die entsprechenden Rügen nicht eingehen.</w:t>
      </w:r>
    </w:p>
    <w:p>
      <w:r>
        <w:rPr>
          <w:b/>
        </w:rPr>
        <w:t>E. 2.4</w:t>
      </w:r>
    </w:p>
    <w:p>
      <w:r>
        <w:t>Schliesslich verlangt die Beschwerdeführerin die Aufhebung der Kosten- und Entschädigungsfolgen des kantonalen Verfahrens. Soweit sie ausführt, die Gegenpartei sei handlungsunfähig und habe daher keinen Anspruch auf eine Parteientschädigung, übersieht sie, dass dieser von der Vorinstanz, deren Beschluss ausschliesslich überprüft werden kann, auch keine zugesprochen worden ist. Weshalb die Kostenverlegung bundesrechtswidrig sein sollte, begründet die Beschwerdeführerin nicht. Auf diesen Antrag ist folglich nicht einzutreten.</w:t>
      </w:r>
    </w:p>
    <w:p>
      <w:r>
        <w:rPr>
          <w:b/>
        </w:rPr>
        <w:t>E. 3</w:t>
      </w:r>
    </w:p>
    <w:p>
      <w:r>
        <w:t>Nach dem Gesagten ist der Beschwerde insgesamt kein Erfolg beschieden. Die Begehren der Beschwerdeführerin waren von Anfang an aussichtslos, weshalb ihr Gesuch um unentgeltliche Rechtspflege abzuweisen ist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