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5A_858/2015 vom 30. Oktober 2015</w:t>
      </w:r>
    </w:p>
    <w:p>
      <w:r>
        <w:t>Bundesgericht, 2015-10-30, FR</w:t>
      </w:r>
    </w:p>
    <w:p>
      <w:r>
        <w:rPr>
          <w:b/>
        </w:rPr>
        <w:t xml:space="preserve">Quelle: </w:t>
      </w:r>
      <w:r>
        <w:t>https://mcp.opencaselaw.ch/entscheid/bger_5A_858_2015</w:t>
      </w:r>
    </w:p>
    <w:p>
      <w:r>
        <w:t>FR: TF 5A_858/2015 du 30 octobre 2015</w:t>
      </w:r>
    </w:p>
    <w:p>
      <w:r>
        <w:t>IT: TF 5A_858/2015 del 30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22 octobre 2015, la Cour de justice du canton de Genève, Chambre civile, a déclaré irrecevable le recours formé par A.________ contre le jugement du 24 septembre 2015 par le Tribunal de première instance la déclarant en faillite.</w:t>
      </w:r>
    </w:p>
    <w:p>
      <w:r>
        <w:t>L'autorité cantonale a jugé que le délai de 10 jours pour former recours arrivait à échéance le 12 octobre 2015 ( art. 174 al. 1 LP</w:t>
      </w:r>
    </w:p>
    <w:p>
      <w:r>
        <w:t>cum 142 al. 1 et 3 CPC) et que le recours, déposé après l'expiration de ce délai le 19 octobre 2015, était irrecevable.</w:t>
      </w:r>
    </w:p>
    <w:p>
      <w:r>
        <w:rPr>
          <w:b/>
        </w:rPr>
        <w:t>E. 2</w:t>
      </w:r>
    </w:p>
    <w:p>
      <w:r>
        <w:t>Par courrier du 28 octobre 2015, A.________ interjette un recours en matière civile contre cet arrêt devant le Tribunal fédéral. Elle se borne toutefois à prétendre de manière appellatoire que le jugement de première instance aurait été envoyé à une ancienne adresse, sans prétendre toutefois qu'elle aurait communiqué la nouvelle au juge. Cette argumentation ne répond manifestement pas aux exigences de motivation des art. 42 al. 1 et 106 al. 2 LTF, de sorte que le recours doit être déclaré irrecevable dans la procédure simplifiée ( art. 108 al. 1 let. b LTF 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