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857/2019 vom 7. August 2020</w:t>
      </w:r>
    </w:p>
    <w:p>
      <w:r>
        <w:t>Bundesgericht, 2020-08-07, DE</w:t>
      </w:r>
    </w:p>
    <w:p>
      <w:r>
        <w:rPr>
          <w:b/>
        </w:rPr>
        <w:t xml:space="preserve">Quelle: </w:t>
      </w:r>
      <w:r>
        <w:t>https://mcp.opencaselaw.ch/entscheid/bger_5A_857_2019</w:t>
      </w:r>
    </w:p>
    <w:p>
      <w:r>
        <w:t>FR: TF 5A 857/2019 du 7 août 2020</w:t>
      </w:r>
    </w:p>
    <w:p>
      <w:r>
        <w:t>IT: TF 5A 857/2019 del 7 agosto 2020</w:t>
      </w:r>
    </w:p>
    <w:p>
      <w:pPr>
        <w:pStyle w:val="Heading2"/>
      </w:pPr>
      <w:r>
        <w:t>Regeste</w:t>
      </w:r>
    </w:p>
    <w:p>
      <w:r>
        <w:t>Mandatierung im Rechtsöffnungsverfahren | Schuldbetreibungs- und Konkursrecht</w:t>
      </w:r>
    </w:p>
    <w:p>
      <w:pPr>
        <w:pStyle w:val="Heading2"/>
      </w:pPr>
      <w:r>
        <w:t>Erwägungen</w:t>
      </w:r>
    </w:p>
    <w:p>
      <w:r>
        <w:rPr>
          <w:b/>
        </w:rPr>
        <w:t>E. 1.1</w:t>
      </w:r>
    </w:p>
    <w:p>
      <w:r>
        <w:t>Das Bundesgericht prüft von Amtes wegen und mit freier Kognition, ob ein Rechtsmittel zulässig ist ( BGE 143 III 140 E. 1 und BGE 141 III 395 E. 2.1).</w:t>
      </w:r>
    </w:p>
    <w:p>
      <w:r>
        <w:rPr>
          <w:b/>
        </w:rPr>
        <w:t>E. 1.2</w:t>
      </w:r>
    </w:p>
    <w:p>
      <w:r>
        <w:t>Die angefochtene Verfügung betrifft ein Beschwerdeverfahren, in dem eine letzte kantonale Instanz über ein Rechtsöffnungsgesuch mit einem Streitwert über Fr. 30'000.-- zu befinden hat. Damit ist die Beschwerde in Zivilsachen von der Sache her gegeben ( Art. 72 Abs. 2 lit. a, Art. 74 Abs. 1 lit. b und Art. 75 Abs. 1 BGG ).</w:t>
      </w:r>
    </w:p>
    <w:p>
      <w:r>
        <w:rPr>
          <w:b/>
        </w:rPr>
        <w:t>E. 1.3</w:t>
      </w:r>
    </w:p>
    <w:p>
      <w:r>
        <w:t>Die Vorinstanz hat das Gesuch des Beschwerdeführers, den Anwälten der Beschwerdegegnerin die Vertretung zu verbieten, abgelehnt. Bei diesem verfahrensleitenden Entscheid handelt es sich um einen selbständig eröffneten Vor- oder Zwischenentscheid, der nur unter den Voraussetzungen von Art. 92 und 93 BGG angefochten werden kann. Vorliegend kommt einzig die Variante nach Art. 93 Abs. 1 lit. a BGG in Betracht. Demnach ist die Beschwerde nur zulässig, wenn der Zwischenentscheid einen nicht wieder gut zu machenden Nachteil bewirken kann. Ein solcher Nachteil muss rechtlicher Natur und auch durch einen für den Beschwerdeführer günstigen Endentscheid nicht oder nicht vollständig behebbar sein. Dass dem Beschwerdeführer ein tatsächlicher oder rein wirtschaftlicher Nachteil drohen könnte, genügt für die Anfechtung des Zwischenentscheides noch nicht ( BGE 143 III 416 E. 1.3 und BGE 141 III 80 E. 1.2).</w:t>
      </w:r>
    </w:p>
    <w:p>
      <w:r>
        <w:rPr>
          <w:b/>
        </w:rPr>
        <w:t>E. 2.1</w:t>
      </w:r>
    </w:p>
    <w:p>
      <w:r>
        <w:t>Der Beschwerdeführer betont, dass die Beschwerdegegnerin durch die Mandatierung von Anwälten aus einer Kanzlei, die vormals für ihn tätig gewesen war, über Kenntnisse seiner persönlichen Situation und von finanziellen Strukturen verfügte, die das vorliegende Verfahren in für ihn ungünstiger Weise beeinflussen könnten. Damit drohe ihm ganz konkret ein Nachteil, der nicht wieder gut zu machen sei.</w:t>
      </w:r>
    </w:p>
    <w:p>
      <w:r>
        <w:rPr>
          <w:b/>
        </w:rPr>
        <w:t>E. 2.2</w:t>
      </w:r>
    </w:p>
    <w:p>
      <w:r>
        <w:t>Zu entscheiden ist im vorinstanzlichen Verfahren einzig, ob die Beschwerdegegnerin aufgrund der Veranlagungs- und Nachsteuerverfügungen des kantonalen Steueramtes die definitive Rechtsöffnung für die in Betreibung gesetzten Steuerschulden verlangen kann. Dass die entsprechenden Verfügungen grundsätzlich einen definitiven Rechtsöffnungstitel darstellen und im Rechtsöffnungsverfahren nicht materiell überprüft werden können, ist nicht strittig ( Art. 80 Abs. 2 Ziff. 2 SchKG ; BGE 135 III 315 E. 3.2). Ob die Beschwerdegegnerin die im vorliegenden Verfahren tätigen Anwälte mit der Interessenwahrung beauftragen durfte, spielt für die Beantwortung der im Zentrum stehenden Rechtsfrage nach der Aktivlegitimation keine Rolle, welche selbst bei einem für den Beschwerdeführer günstigen Endentscheid zu einem nicht oder nicht vollständig behebbaren Nachteil führen würde (E. 1.3). Damit droht dem Beschwerdeführer kein Rechtsnachteil, wenn das Bundesgericht die im vorliegenden Fall angefochtene Verfügung nicht prüft. Daran ändert auch der Hinweis des Beschwerdeführers, dass der Vermeidung von Interessenkollisionen für die Rechtspflege eine grosse Bedeutung zukomme, nichts. Auf die Beschwerde ist somit nicht einzutreten.</w:t>
      </w:r>
    </w:p>
    <w:p>
      <w:r>
        <w:rPr>
          <w:b/>
        </w:rPr>
        <w:t>E. 3</w:t>
      </w:r>
    </w:p>
    <w:p>
      <w:r>
        <w:t>Ausgangsgemäss trägt der Beschwerdeführer die Gerichtskosten ( Art. 66 Abs. 1 BGG ). Der Beschwerdegegnerin steht für ihre Stellungnahme zum Gesuch um Erlass vorsorglicher Massnahmen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