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5A_854/2024 vom 16. Dezember 2024</w:t>
      </w:r>
    </w:p>
    <w:p>
      <w:r>
        <w:t>Bundesgericht, 2024-12-16, FR</w:t>
      </w:r>
    </w:p>
    <w:p>
      <w:r>
        <w:rPr>
          <w:b/>
        </w:rPr>
        <w:t xml:space="preserve">Quelle: </w:t>
      </w:r>
      <w:r>
        <w:t>https://mcp.opencaselaw.ch/entscheid/bger_5A_854_2024</w:t>
      </w:r>
    </w:p>
    <w:p>
      <w:r>
        <w:t>FR: TF 5A_854/2024 du 16 décembre 2024</w:t>
      </w:r>
    </w:p>
    <w:p>
      <w:r>
        <w:t>IT: TF 5A_854/2024 del 16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5A_854/2024</w:t>
      </w:r>
    </w:p>
    <w:p>
      <w:r>
        <w:t>Arrêt du 16 décembre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Office cantonal des poursuites de Genève, rue du Stand 46, 1204 Genève.</w:t>
      </w:r>
    </w:p>
    <w:p>
      <w:r>
        <w:t>Objet</w:t>
      </w:r>
    </w:p>
    <w:p>
      <w:r>
        <w:t>avis d'enlèvement d'actifs inventoriés, effet suspensif,</w:t>
      </w:r>
    </w:p>
    <w:p>
      <w:r>
        <w:t>recours contre l'ordonnance de la Chambre de surveillance des Offices des poursuites et faillites</w:t>
      </w:r>
    </w:p>
    <w:p>
      <w:r>
        <w:t>de la Cour de justice du canton de Genève du 27 novembre 2024 (DCSO/577/24).</w:t>
      </w:r>
    </w:p>
    <w:p>
      <w:r>
        <w:t>Vu :</w:t>
      </w:r>
    </w:p>
    <w:p>
      <w:r>
        <w:t>l'ordonnance du 27 novembre 2024 de la Chambre de surveillance des Offices des poursuites et faillites de la Cour de justice du canton de Genève;</w:t>
      </w:r>
    </w:p>
    <w:p>
      <w:r>
        <w:t>le recours en matière civile interjeté le 9 décembre 2024 par la société A.________ SA à l'encontre de cette ordonnance, concluant à l'attribution de l'effet suspensif à la plainte en tant qu'elle porte sur l'enlèvement des actifs saisis;</w:t>
      </w:r>
    </w:p>
    <w:p>
      <w:r>
        <w:t>Considérant :</w:t>
      </w:r>
    </w:p>
    <w:p>
      <w:r>
        <w:t>que le présent recours est traité en tant que recours en matière civile au sens de l' art. 72 al. 2 let. a LTF ;</w:t>
      </w:r>
    </w:p>
    <w:p>
      <w:r>
        <w:t>que, en l'occurrence, la juridiction précédente a refusé l'effet suspensif en tant que la plainte porte "</w:t>
      </w:r>
    </w:p>
    <w:p>
      <w:r>
        <w:t>sur l'enlèvement des actifs saisis ", mais l'a accordé en ce sens qu'il est interdit à l'Office cantonal des poursuites de procéder à la réalisation forcée desdits actifs jusqu'à droit jugé sur la plainte;</w:t>
      </w:r>
    </w:p>
    <w:p>
      <w:r>
        <w:t>que l'ordonnance entreprise porte sur des mesures provisionnelles au sens de l' art. 98 LTF (arrêt 5A_209/2023 du 12 avril 2023 consid. 4 et la jurisprudence citée);</w:t>
      </w:r>
    </w:p>
    <w:p>
      <w:r>
        <w:t>que, partant, la recourante ne peut se plaindre que d'une violation de ses droits constitutionnels, moyen qu'elle doit exposer conformément à l' art. 106 al. 2 LTF ( ATF 135 III 232 consid. 1.2);</w:t>
      </w:r>
    </w:p>
    <w:p>
      <w:r>
        <w:t>que, en l'espèce, l'intéressée ne soulève pas le moindre grief de nature constitutionnelle, mais reproche à l'autorité précédente d'avoir violé le pouvoir d'appréciation dont elle dispose en ce domaine;</w:t>
      </w:r>
    </w:p>
    <w:p>
      <w:r>
        <w:t>que, en conclusion, le recours doit être déclaré irrecevable par voie de procédure simplifiée ( art. 108 al. 1 let. b LTF ), avec suite de frais à la charge de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800 fr., sont mis à la charge de la recourante.</w:t>
      </w:r>
    </w:p>
    <w:p>
      <w:r>
        <w:t>3.</w:t>
      </w:r>
    </w:p>
    <w:p>
      <w:r>
        <w:t>Le présent arrêt est communiqué à la recourante, à l'Office cantonal des poursuites de Genève et à la Chambre de surveillance des Offices des poursuites et faillites de la Cour de justice du canton de Genève.</w:t>
      </w:r>
    </w:p>
    <w:p>
      <w:r>
        <w:t>Lausanne, le 16 décembre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