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854/2015 vom 17. Juni 2016</w:t>
      </w:r>
    </w:p>
    <w:p>
      <w:r>
        <w:t>Bundesgericht, 2016-06-17, FR</w:t>
      </w:r>
    </w:p>
    <w:p>
      <w:r>
        <w:rPr>
          <w:b/>
        </w:rPr>
        <w:t xml:space="preserve">Quelle: </w:t>
      </w:r>
      <w:r>
        <w:t>https://mcp.opencaselaw.ch/entscheid/bger_5A_854_2015</w:t>
      </w:r>
    </w:p>
    <w:p>
      <w:r>
        <w:t>FR: TF 5A 854/2015 du 17 juin 2016</w:t>
      </w:r>
    </w:p>
    <w:p>
      <w:r>
        <w:t>IT: TF 5A 854/2015 del 17 giugno 2016</w:t>
      </w:r>
    </w:p>
    <w:p>
      <w:pPr>
        <w:pStyle w:val="Heading2"/>
      </w:pPr>
      <w:r>
        <w:t>Regeste</w:t>
      </w:r>
    </w:p>
    <w:p>
      <w:r>
        <w:t>contribution d'entretien | Droit de la famille</w:t>
      </w:r>
    </w:p>
    <w:p>
      <w:pPr>
        <w:pStyle w:val="Heading2"/>
      </w:pPr>
      <w:r>
        <w:t>Erwägungen</w:t>
      </w:r>
    </w:p>
    <w:p>
      <w:r>
        <w:rPr>
          <w:b/>
        </w:rPr>
        <w:t>E. 1.1</w:t>
      </w:r>
    </w:p>
    <w:p>
      <w:r>
        <w:t>Le Tribunal fédéral examine librement et d'office la recevabilité du recours qui lui est soumis ( ATF 141 II 113 consid. 1). L'intitulé erroné d'un recours ne nuit pas à son auteur, pour autant que les conditions de recevabilité du recours qui aurait dû être interjeté soient réunies ( ATF 138 I 367 consid. 1.1; 134 III 379 consid. 1.2). Peu importe dès lors, d'une part que l'acte adressé à la cour de céans soit inexactement dénommé " appel " et d'autre part que le recourant se réfère par erreur au Code de procédure civile et non à la Loi sur le Tribunal fédéral (LTF), applicable à cet égard, dans ses considérations sur la recevabilité de son recours.</w:t>
      </w:r>
    </w:p>
    <w:p>
      <w:r>
        <w:rPr>
          <w:b/>
        </w:rPr>
        <w:t>E. 1.2</w:t>
      </w:r>
    </w:p>
    <w:p>
      <w:r>
        <w:t>Le recours est dirigé contre une décision finale ( art. 90 LTF ) statuant sur une action alimentaire ( art. 279 CC ), à savoir une décision rendue en matière civile ( art. 72 al. 1 LTF ; arrêt 5A_60/2016 du 20 avril 2016 consid. 1) par une autorité cantonale de dernière instance statuant sur recours ( art. 75 al. 1 et 2 LTF ). La valeur litigieuse minimale est par ailleurs atteinte (art. 51 al. 1 let. a et al. 4, 74 al. 1 let. b LTF). Interjeté dans le délai ( art. 100 al. 1 LTF ) et en la forme prévus par la loi ( art. 42 LTF ), par la partie qui a succombé dans ses conclusions en instance cantonale ( art. 76 al. 1 LTF ), le recours est recevable, sous l'angle de ces dispositions, en tant que recours en matière civile.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2.2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141 IV 317 consid. 5.4, 336 consid. 2.4.1; 140 III 264 consid. 2.3 précité; 139 II 249 consid. 1.2.2), doit satisfaire au principe d'allégation susmentionné ( cf. supra consid. 2.1 in fine ), sous peine d'irrecevabilité. Elle ne peut, en particulier, se contenter d'opposer sa thèse à celle de la juridiction cantonale, mais doit s'efforcer de démontrer, par une argumentation précise, que la décision attaquée repose sur une appréciation des preuves manifestement insoutenable.</w:t>
      </w:r>
    </w:p>
    <w:p>
      <w:r>
        <w:rPr>
          <w:b/>
        </w:rPr>
        <w:t>E. 2.3</w:t>
      </w:r>
    </w:p>
    <w:p>
      <w:r>
        <w:t>Selon l' art. 99 al. 1 LTF , aucun fait nouveau ni preuve nouvelle ne peut être présenté à moins de résulter de la décision de l'autorité précédente ( ATF 135 I 221 consid. 5.2.4; 133 IV 342 consid. 2.1). Il en va de même des faits et pièces postérieurs à l'arrêt entrepris ( ATF 133 IV 342 consid. 2.1). Sont dès lors d'emblée irrecevables dans le cadre de l'examen du fond du recours, les pièces transmises par bordereau à l'appui de celui-ci et qui ne seraient pas déjà versées au dossier cantonal, sans que le recourant n'explique en quoi elle ne seraient devenues pertinentes qu'au stade du recours devant la cour de céans. Tel est en particulier le cas des pièces postérieures à l'arrêt querellé, comme par exemple l'attestation de son amie, relative à un emprunt auprès de ses parents, du 21 octobre 2015, ou d'une attestation de paiement de la Caisse d'allocations familiales du 2 octobre 2015.</w:t>
      </w:r>
    </w:p>
    <w:p>
      <w:r>
        <w:rPr>
          <w:b/>
        </w:rPr>
        <w:t>E. 3</w:t>
      </w:r>
    </w:p>
    <w:p>
      <w:r>
        <w:t>Selon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parmi plusieurs: arrêts 5A_874/2015 du 2 mars 2016 consid. 4.1; 5A_959/2013 du 1er octobre 2014 consid. 9.2.2). La loi ne prescrit toutefois pas de méthode de calcul particulière pour arrêter la contribution d'entretien ( ATF 128 III 411 consid. 3.2.2); sa fixation relève de l'appréciation du juge, qui jouit d'un large pouvoir d'appréciation ( ATF 127 III 136 consid. 3a; 120 II 285 consid. 3b/bb; arrêt 5A_507/2007 du 23 avril 2008 consid. 5.1) et applique les règles du droit et de l'équité ( art. 4 CC ; 127 III 136 consid. 3a). Le Tribunal fédéral n'intervient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130 III 571 consid. 4.3; 128 III 161 consid. 2c/aa).</w:t>
      </w:r>
    </w:p>
    <w:p>
      <w:r>
        <w:rPr>
          <w:b/>
        </w:rPr>
        <w:t>E. 4</w:t>
      </w:r>
    </w:p>
    <w:p>
      <w:r>
        <w:t>En l'espèce, après avoir confirmé l'appréciation du premier juge quant à la situation financière de la mère de l'intimé, le Juge unique s'est prononcé plus avant sur celle du recourant, d'abord par référence aux constatations du premier juge. Celui-ci a estimé le revenu mensuel du recourant, découlant de ses activités et participations dans diverses sociétés, à au moins 30'000 dirhams par mois, soit environ 3250 fr. Il a ainsi été tenu compte du salaire mensuel de 30'000 dirhams perçu jusqu'à la fin de l'année 2011 comme directeur général de la " franchise D.________ ", puis de sa nouvelle fonction de " gérant de la Holding E.________ et de président des sociétés du groupe ", retenant que la holding finançait son train de vie et prenait en charge toutes ses dépenses y compris celles de l'intimé, soit un montant mensuel compris entre 2500 et 3000 euros : Le premier juge a encore tenu compte du fait que le recourant avait loué, avec son amie, une villa de très haut standing pour un loyer équivalent à son ancien salaire de directeur, en sorte qu'il fallait considérer qu'il disposait au Maroc d'un train de vie très supérieur à la moyenne. Par ailleurs, l'examen des comptes de la holding et de transactions liées à la revente de la " franchise D.________ " avait procuré diverses sources de revenus permettant de couvrir un train de vie de 30'000 dirhams par mois. Tenant enfin compte des charges du recourant, le premier juge a considéré que celui-ci disposait d'un excédent de revenu de l'ordre de 17'000 dirhams, soit environ 2'000 fr. par mois, avant de mentionner que rien n'indiquait que son départ du Maroc l'avait conduit à diminuer son train de vie, le recourant ayant du reste admis avoir conservé le bail de la villa précitée, la totalité de ses charges étant dès lors couvertes dans son nouveau lieu de vie. Se prononçant alors sur les critiques du recourant à cet égard, le Juge unique a écarté celles relatives à l'appréciation de sa situation économique, prétendument mauvaise, au Maroc, où il soutient finalement avoir cessé toute activité : écartant - autant que recevable - le grief dirigé contre la prise en considération du loyer de la villa louée au Maroc en soulignant que le premier juge ne s'était pas focalisé uniquement sur le seul montant de ce loyer, il a ensuite nié la valeur probante d'un document produit en appel, contredit par les déclarations du recourant lui-même sur les revenus qu'il réalisait. Le Juge unique a alors confirmé l'appréciation du premier juge et retenu que le recourant disposait d'un excédent mensuel de 2'000 fr. S'agissant de la situation financière du recourant en France, où il est domicilié avec son amie depuis le 17 mars 2014, le juge cantonal a écarté ses allégués sur ses revenus et charges, aucun élément à cet égard n'ayant été prouvé, faute en particulier d'avoir déposé en temps utiles les pièces susceptibles de les établir. En particulier, il n'a pas non plus effectivement démontré avoir assumé des frais liés à l'exercice du droit de visite sur l'intimé. Reprochant alors au recourant d'avoir omis de fournir des éléments probants sur sa véritable situation économique en France, il a considéré qu'il n'était pas possible de retenir qu'elle serait moins favorable que celle dont il bénéficiait au Maroc, l'intéressé n'ayant de surcroît pas non plus allégué, ni a fortiori établi, que sa capacité de gain serait moins bonne, ni démontré que la santé financière des sociétés marocaines dans lesquelles il est toujours impliqué serait véritablement mauvaise. Au vu de ces éléments d'appréciation, le Juge unique a alors intégralement confirmé le raisonnement du premier juge, répartissant les frais d'entretien de l'intimé entre ses parents, avec une part de 65% à la charge du recourant, fixant ensuite les contributions dues par celui-ci par étapes, successivement à 630 fr. puis à 800 fr. par mois dès l'âge de 13 ans.</w:t>
      </w:r>
    </w:p>
    <w:p>
      <w:r>
        <w:rPr>
          <w:b/>
        </w:rPr>
        <w:t>E. 5</w:t>
      </w:r>
    </w:p>
    <w:p>
      <w:r>
        <w:t>En substance et autant que son argumentation soit compréhensible, le recourant reproche au juge précédent d'avoir mis une contribution d'entretien à sa charge et fait en définitive valoir la violation de l' art. 285 CC . Se référant - à tort - à l' art. 317 CPC , il entend alléguer de nouveaux faits et produire de nouveaux moyens de preuve devant la cour de céans. Il expose alors avoir dû supporter, au moment où la décision a été rendue, de lourds frais suite à son retour. Sans travail, il a ainsi dû emprunter, pour créer une start-up à Barcelone dont il détient 60% du capital et qui ne lui procure actuellement aucun revenu. Il espère par ailleurs retrouver du travail à terme et s'attend dans le futur à une rémunération de 1'500 euros, qui lui permettra de s'acquitter d'une contribution mensuelle de 100 fr. Il affirme que sa situation en France est différente de celle au Maroc. Par ailleurs, il estime qu'il faut tenir compte de frais d'exercice du droit de visite. Enfin, il relève que l'on ne saurait lui reprocher de s'être déplacé en France. Exposant alors plus en détail sa situation financière et les perspectives futures, le recourant en conclut qu'il ne peut actuellement contribuer à l'entretien de l'intimé, mais qu'une contribution mensuelle de 100 fr. pourrait être envisagée dans un délai de reconversion adapté aux réalités de l'emploi en France, soit d'ici 12 mois. Au surplus, le recourant reproche à la mère de l'intimé son comportement critiquable consistant à s'établir en Suisse, à lui faire obstruction, tout en vivant en concubinage avec " Monsieur F.________ avec qui elle envisage de se marier " et qui dispose de moyens financiers importants. Ce faisant, le recourant remet essentiellement en cause les faits constatés par le juge cantonal, sans soulever de grief motivé à suffisance de droit à cet égard, en sorte que ces faits lient la cour de céans ( cf. supra consid. 2.2). Par ailleurs, il ne s'en prend pas non plus, par une critique motivée, au raisonnement du Juge unique ( cf. supra consid. 2.1), mais se contente d'exposer sa propre version de sa situation en France, essentiellement dans une perspective prospective et future, qui plus est sur la base de faits nouveaux irrecevables ( cf. supra consid. 2.3), au demeurant simplement allégués de façon désordonnée et, parfois, au regard d'attitudes peu explicitées (création d'une start-up à Barcelone et recherche, probablement simultanée, d'emplois en France). Quant aux frais de visite, il n'allègue même pas en avoir effectivement supportés, mais procède " pour l'heure " à une estimation, en précisant que celle-ci est difficile dès lors que, selon son affirmation, les modalités exactes du droit de visite ne sont pas connues (cette question ne faisant pas l'objet de la présente procédure). Il en découle que le recours ne satisfait manifestement pas aux exigences de motivation de la LTF, applicable en l'espèce. Autant qu'intelligibles, il ne saurait être entré en matière sur les critiques du recourant.</w:t>
      </w:r>
    </w:p>
    <w:p>
      <w:r>
        <w:rPr>
          <w:b/>
        </w:rPr>
        <w:t>E. 6</w:t>
      </w:r>
    </w:p>
    <w:p>
      <w:r>
        <w:t>En conclusion, le recours est irrecevable dans son ensemble. Au vu des circonstances, il peut être statué sans frais ( art. 66 al. 1 LTF ), ce qui rend sans objet la demande d'assistance judiciaire limitée à ces derniers. Il n'y a pas lieu d'allouer de dépens à l'intimé, qui n'a pas été invité à se déterminer ( art. 68 al. 1 LTF ). Dès lors que le recourant n'a pas donné suite à l'injonction qui lui a été adressée d'élire en Suisse un domicile de notification (art. 39 al. 3LTF), il n'y a pas lieu de lui notifier le présent arrêt en France, l'exemplaire qui lui est destiné étant conservé au dossier, à sa disposition (arrêt 5A_26/2011 du 30 mai 2011, consid. 4); par ailleurs, un exemplaire du présent arrêt lui est encore adressé directement, par courrier.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