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5A_853/2025 vom 10. Oktober 2025</w:t>
      </w:r>
    </w:p>
    <w:p>
      <w:r>
        <w:t>Bundesgericht, 2025-10-10, DE</w:t>
      </w:r>
    </w:p>
    <w:p>
      <w:r>
        <w:rPr>
          <w:b/>
        </w:rPr>
        <w:t xml:space="preserve">Quelle: </w:t>
      </w:r>
      <w:r>
        <w:t>https://mcp.opencaselaw.ch/entscheid/bger_5A_853_2025</w:t>
      </w:r>
    </w:p>
    <w:p>
      <w:r>
        <w:t>FR: TF 5A_853/2025 du 10 octobre 2025</w:t>
      </w:r>
    </w:p>
    <w:p>
      <w:r>
        <w:t>IT: TF 5A_853/2025 del 10 ottobre 2025</w:t>
      </w:r>
    </w:p>
    <w:p>
      <w:pPr>
        <w:pStyle w:val="Heading2"/>
      </w:pPr>
      <w:r>
        <w:t>Erwägungen</w:t>
      </w:r>
    </w:p>
    <w:p>
      <w:r>
        <w:rPr>
          <w:b/>
        </w:rPr>
        <w:t>E. 1</w:t>
      </w:r>
    </w:p>
    <w:p>
      <w:r>
        <w:t>Anfechtungsobjekt bildet der obergerichtliche Entscheid vom 12. September 2025. Soweit sich der Beschwerdeführer zu Themen äussert, die ausserhalb des darin Beurteilten stehen (alternierende Obhut, Beistandschaft), ist auf die Beschwerde von vornherein nicht einzutreten ( BGE 136 II 457 E. 4.2; 136 V 362 E. 3.4.2 ; 142 I 155 E. 4.4.2). Ohnehin fehlt es diesbezüglich auch an Rechtsbegehren ( Art. 42 Abs. 1 BGG ).</w:t>
      </w:r>
    </w:p>
    <w:p>
      <w:r>
        <w:rPr>
          <w:b/>
        </w:rPr>
        <w:t>E. 2</w:t>
      </w:r>
    </w:p>
    <w:p>
      <w:r>
        <w:t>Der angefochtene Entscheid betrifft die Frage der aufschiebenden Wirkung und des Erlasses von (super-) provisorischen Massnahmen in einer Eheschutzangelegenheit ( Art. 72 Abs. 1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 Der Beschwerdeführer äussert sich mit keinem Wort zu den besonderen Anfechtungsvoraussetzungen von Art. 93 Abs. 1 BGG ; bereits daran scheitert die Beschwerde. Ohnehin ist sie aber auch in der Sache selbst nicht hinreichend begründet (dazu E. 3).</w:t>
      </w:r>
    </w:p>
    <w:p>
      <w:r>
        <w:rPr>
          <w:b/>
        </w:rPr>
        <w:t>E. 3</w:t>
      </w:r>
    </w:p>
    <w:p>
      <w:r>
        <w:t>Der Entscheid über die aufschiebende Wirkung und über (super-) provisorische Massnahmen ist - wie schon die Eheschutzangelegenheit als solche ( BGE 133 III 393 E. 5.1; 149 III 81 E. 1.3) -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 In der Beschwerde werden zwar verschiedene verfassungsmässige Rechte aufgelistet, aber der Beschwerdeführer legt - soweit sich die Ausführungen nicht ohnehin in blosser Polemik gegen die Vorrichter und gegen die Mutter erschöpfen - weder nachvollziehbar noch unter konkreter Bezugnahme auf die ausführlichen Erwägungen im angefochtenen Entscheid dar, inwiefern die angerufenen Verfassungsbestimmungen im Einzelnen verletzt sein sollen. Im Übrigen besteht die Beschwerde in einer Zusammenstellung von Sachverhaltsbehauptungen, welche in appellatorischer Form vorgetragen werden. Der Beschwerdeführer verkennt, dass die Sachverhaltsfeststellungen des angefochtenen Entscheides für das Bundesgericht grundsätzlich verbindlich sind ( Art. 105 Abs. 1 BGG ) und dass das Bundesgericht grundsätzlich keine Beweismittel abnimmt, sondern bei einer aufgezeigten willkürlich unterbliebenen Beweisabnahme die Sache an die Vorinstanz zurückzuweisen wäre ( BGE 135 III 31 E. 2.2; 136 III 209 E. 6.1; zuletzt Urteil 5A_676/2024 vom 10. Oktober 2024 E. 3.1).</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wird das Begehren um aufschiebende Wirkung gegenstandslos.</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