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5A_853/2017 vom 2. November 2017</w:t>
      </w:r>
    </w:p>
    <w:p>
      <w:r>
        <w:t>Bundesgericht, 2017-11-02, DE</w:t>
      </w:r>
    </w:p>
    <w:p>
      <w:r>
        <w:rPr>
          <w:b/>
        </w:rPr>
        <w:t xml:space="preserve">Quelle: </w:t>
      </w:r>
      <w:r>
        <w:t>https://mcp.opencaselaw.ch/entscheid/bger_5A_853_2017</w:t>
      </w:r>
    </w:p>
    <w:p>
      <w:r>
        <w:t>FR: TF 5A_853/2017 du 2 novembre 2017</w:t>
      </w:r>
    </w:p>
    <w:p>
      <w:r>
        <w:t>IT: TF 5A_853/2017 del 2 novembre 2017</w:t>
      </w:r>
    </w:p>
    <w:p>
      <w:pPr>
        <w:pStyle w:val="Heading2"/>
      </w:pPr>
      <w:r>
        <w:t>Erwägungen</w:t>
      </w:r>
    </w:p>
    <w:p>
      <w:r>
        <w:rPr>
          <w:b/>
        </w:rPr>
        <w:t>E. 1</w:t>
      </w:r>
    </w:p>
    <w:p>
      <w:r>
        <w:t>Angefochten ist der kantonal letztinstanzliche Entscheid betreffend Besuchsrecht; die Beschwerde in Zivilsachen ist gegeben (Art. 72 Abs. 2 lit. b Ziff. 6 und Art. 75 Abs. 1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In Bezug auf den Sachverhalt ist das Bundesgericht an die Feststellungen im angefochtenen Entscheid gebunden ( Art. 105 Abs. 1 BGG ). In diesem Bereich kann lediglich eine offensichtlich unrichtige - d.h. willkürliche, in Verletzung von Art. 9 BV ergangene ( BGE 140 III 115 E. 2 S. 117; 141 IV 249 E. 1.3.1 S. 253; 141 IV 369 E. 6.3 S. 375) - Sachverhaltsfeststellung gerügt werden, wobei hierfür das strenge Rügeprinzip gilt (Art. 97 Abs. 1 i.V.m. Art. 106 Abs. 2 BGG ; BGE 140 III 264 E. 2.3 S. 266; 141 IV 369 E. 6.3 S. 375). Das bedeutet, dass das Bundesgericht nur klar und detailliert erhobene und belegte Rügen prüft, während es auf ungenügend substanziierte Rügen und rein appellatorische Kritik am Sachverhalt nicht eintritt ( BGE 140 III 264 E. 2.3 S. 266; 141 IV 249 E. 1.3.1 S. 253).</w:t>
      </w:r>
    </w:p>
    <w:p>
      <w:r>
        <w:rPr>
          <w:b/>
        </w:rPr>
        <w:t>E. 3</w:t>
      </w:r>
    </w:p>
    <w:p>
      <w:r>
        <w:t>Die Beschwerde scheitert formell bereits daran, dass kein Rechtsbegehren gestellt wird.</w:t>
      </w:r>
    </w:p>
    <w:p>
      <w:r>
        <w:t>Im Übrigen beziehen sich die Ausführungen fast ausschliesslich auf den Sachverhalt, der als falsch dargestellt wird, wobei diesbezüglich keinerlei Willkürrügen erhoben, sondern rein appellatorische Ausführungen gemacht werden. Auf all dies kann nach dem in E. 1 Gesagten nicht eingetreten werden. Entsprechend stösst der Vorwurf, das Appellationsgericht folge einseitig den Ausführungen des Vaters und es sei deshalb parteiisch in Leere; ohnehin wäre der Vorwurf unberechtigt, denn Parteilichkeit ergibt sich nicht allein daraus, dass ein Gericht aufgrund des festgestellten Sachverhaltes im Ergebnis dem Standpunkt der anderen Partei folgt.</w:t>
      </w:r>
    </w:p>
    <w:p>
      <w:r>
        <w:t>Sinngemäss die Rechtsanwendung beschlägt einzig das Vorbringen, die Modalitäten der begleiteten Besuche sollten in ihre und nicht in die Kompetenz des Beistandes gestellt werden, da sie die Situation am besten einschätzen könne. Das Appellationsgericht hat indes begründet, weshalb der Entscheid über die Modalitäten dem Beistand zu überlassen sei (angefochtener Entscheid, S. 10); damit setzt sich die Beschwerdeführerin nicht auseinander, weshalb nach dem in E. 1 Gesagten auch diesbezüglich nicht auf die Beschwerde eingetreten werden kann.</w:t>
      </w:r>
    </w:p>
    <w:p>
      <w:r>
        <w:rPr>
          <w:b/>
        </w:rPr>
        <w:t>E. 4</w:t>
      </w:r>
    </w:p>
    <w:p>
      <w:r>
        <w:t>Erweist sich die Beschwerde insgesamt als offensichtlich nicht hinreichend begründet, kann auf sie nicht eingetreten werden und entscheidet der Präsident im vereinfachten Verfahren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