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5A_853/2009 vom 4. Februar 2010</w:t>
      </w:r>
    </w:p>
    <w:p>
      <w:r>
        <w:t>Bundesgericht, 2010-02-04, DE</w:t>
      </w:r>
    </w:p>
    <w:p>
      <w:r>
        <w:rPr>
          <w:b/>
        </w:rPr>
        <w:t xml:space="preserve">Quelle: </w:t>
      </w:r>
      <w:r>
        <w:t>https://mcp.opencaselaw.ch/entscheid/bger_5A_853_2009</w:t>
      </w:r>
    </w:p>
    <w:p>
      <w:r>
        <w:t>FR: TF 5A_853/2009 du 4 février 2010</w:t>
      </w:r>
    </w:p>
    <w:p>
      <w:r>
        <w:t>IT: TF 5A_853/2009 del 4 febbraio 2010</w:t>
      </w:r>
    </w:p>
    <w:p>
      <w:pPr>
        <w:pStyle w:val="Heading2"/>
      </w:pPr>
      <w:r>
        <w:t>Erwägungen</w:t>
      </w:r>
    </w:p>
    <w:p>
      <w:r>
        <w:rPr>
          <w:b/>
        </w:rPr>
        <w:t>E. 1.1</w:t>
      </w:r>
    </w:p>
    <w:p>
      <w:r>
        <w:t>Der angefochtene Entscheid betreffend vorsorgliche Massnahmen für die Dauer des Scheidungsverfahrens ( Art. 137 ZGB ) ist ein kantonal letztinstanzlicher Endentscheid in einer nicht vermögensrechtlichen Streitigkeit, gegen den grundsätzlich die Beschwerde in Zivilsachen ergriffen werden kann ( Art. 72 Abs. 1, Art. 75 Abs. 1 und Art. 90 BGG ; zur Qualifikation als Endentscheid vgl. BGE 134 III 426 E. 2.2 S. 431 f.; zur nicht vermögensrechtlichen Natur vgl. Urteile 5A_271/2009 vom 29. Juni 2009 E. 1; 5A_108/2007 vom 11. Mai 2007 E. 1.2).</w:t>
      </w:r>
    </w:p>
    <w:p>
      <w:r>
        <w:rPr>
          <w:b/>
        </w:rPr>
        <w:t>E. 1.2</w:t>
      </w:r>
    </w:p>
    <w:p>
      <w:r>
        <w:t>Anordnungen nach Art. 137 ZGB gelten nach der Rechtsprechung als vorsorgliche Massnahmen im Sinne von Art. 98 BGG ( BGE 133 III 393 E. 5.1 E. 397), so dass nur die Verletzung verfassungsmässiger Rechte, namentlich des Willkürverbots ( Art. 9 BV ), geltend gemacht werden kann. Deshalb gelangen die Art. 95 und 97 BGG und auch Art. 105 Abs. 2 BGG nicht zur Anwendung. Die hier gegebenen Verhältnisse entsprechen denjenigen bei der subsidiären Verfassungsbeschwerde ( Art. 113 ff. BGG ; BGE 133 III 585 E. 4.1 S. 588).</w:t>
      </w:r>
    </w:p>
    <w:p>
      <w:r>
        <w:t>Wie dort ( Art. 118 Abs. 1 BGG ) ist das Bundesgericht grundsätzlich an die kantonalen Sachverhaltsfeststellungen gebunden. Es kann davon nur abweichen, wenn die Sachverhaltsfeststellung unter Verletzung eines verfassungsmässigen Rechts zustande kam (Art. 118 Abs. 2 i.V.m. Art. 116 BGG , Art. 98 BGG ). Hierfür gilt das strenge Rügeprinzip (Art. 117 i.V.m. Art. 106 Abs. 2 BGG ), was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anhand der angefochtenen Subsumtion im Einzelnen darzulegen, inwiefern das kantonale Gericht willkürlich entschieden haben soll und der angefochtene Entscheid deshalb an einem qualifizierten und offensichtlichen Mangel leidet ( BGE 134 II 244 E. 2.2 S. 246). Willkür in der Beweiswürdigung setzt voraus, dass der Richter den Sinn und die Tragweite eines Beweismittels offensichtlich nicht erkannt, ohne vernünftigen Grund ein entscheidendes Beweismittel ausser Acht gelassen oder aus den vorhandenen Beweismitteln einen unhaltbaren Schluss gezogen hat ( BGE 129 I 8 E. 2.1 S. 9). Dies alles erfordert eine Nennung der angeblich verletzten Norm, einen Beschrieb des Inhalts der angeblich verletzten Norm bzw. der daraus fliessenden Ansprüche. Sodann ist aufzuzeigen, weshalb im konkreten Fall dieses Recht bzw. der Anspruch verletzt worden sein soll. Weiter ist zu beschreiben, inwiefern eine richtige Anwendung der Verfassungsbestimmung zu einem anderen Ergebnis geführt hätte. Schliesslich muss der Beschwerdeführer erklären, weshalb der angefochtene Entscheid auch im Ergebnis unhaltbar ist.</w:t>
      </w:r>
    </w:p>
    <w:p>
      <w:r>
        <w:t>Die Beschwerdeführerin bringt nicht vor, welches verfassungsmässige Recht verletzt worden sein soll. Selbst bei Annahme einer sinngemässen Willkürrüge wären die daran zu stellenden Substanziierungsvoraussetzungen nicht ansatzweise erfüllt. Sie hätte sich mit jedem der Argumente des angefochtenen Entscheides auseinandersetzen und im Einzelnen aufzeigen müssen, inwiefern die Vorinstanz dabei in Willkür verfallen sein soll. Indes begnügt sie sich im Wesentlichen damit, den Sachverhalt und die Rechtslage aus ihrer Sicht darzulegen. Insofern genügt die Beschwerdeschrift den strengeren Begründungsanforderungen von Art. 106 Abs. 2 BGG nicht.</w:t>
      </w:r>
    </w:p>
    <w:p>
      <w:r>
        <w:rPr>
          <w:b/>
        </w:rPr>
        <w:t>E. 2</w:t>
      </w:r>
    </w:p>
    <w:p>
      <w:r>
        <w:t>Nach dem Gesagten ist auf die Beschwerde mangels Substanziierung nicht einzutreten. Bei diesem Verfahrensausgang und unter Rücksichtnahme auf die finanziellen Verhältnisse ist der Beschwerdeführerin eine reduzierte Gerichtsgebühr aufzuerlegen ( Art. 66 Abs.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