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5A_852/2025 vom 8. Oktober 2025</w:t>
      </w:r>
    </w:p>
    <w:p>
      <w:r>
        <w:t>Bundesgericht, 2025-10-08, DE</w:t>
      </w:r>
    </w:p>
    <w:p>
      <w:r>
        <w:rPr>
          <w:b/>
        </w:rPr>
        <w:t xml:space="preserve">Quelle: </w:t>
      </w:r>
      <w:r>
        <w:t>https://mcp.opencaselaw.ch/entscheid/bger_5A_852_2025</w:t>
      </w:r>
    </w:p>
    <w:p>
      <w:r>
        <w:t>FR: TF 5A_852/2025 du 8 octobre 2025</w:t>
      </w:r>
    </w:p>
    <w:p>
      <w:r>
        <w:t>IT: TF 5A_852/2025 del 8 ottobre 2025</w:t>
      </w:r>
    </w:p>
    <w:p>
      <w:pPr>
        <w:pStyle w:val="Heading2"/>
      </w:pPr>
      <w:r>
        <w:t>Erwägungen</w:t>
      </w:r>
    </w:p>
    <w:p>
      <w:r>
        <w:rPr>
          <w:b/>
        </w:rPr>
        <w:t>E. 1</w:t>
      </w:r>
    </w:p>
    <w:p>
      <w:r>
        <w:t>Das erstinstanzliche Scheidungsurteil wurde den Parteien im Dispositiv eröffnet ( Art. 239 Abs. 1 ZPO ). Der Beschwerdeführer hätte innert 10 Tagen eine schriftliche Begründung verlangen müssen ( Art. 239 Abs. 2 ZPO ) und er hätte das schriftlich begründete Urteil innert 30 Tagen mit Berufung anfechten können ( Art. 311 Abs. 1 ZPO ). Soweit keine schriftliche Begründung des erstinstanzlichen Urteils verlangt wurde, gilt dies als Verzicht auf dessen Anfechtung ( Art. 239 Abs. 2 ZPO ).</w:t>
      </w:r>
    </w:p>
    <w:p>
      <w:r>
        <w:rPr>
          <w:b/>
        </w:rPr>
        <w:t>E. 2</w:t>
      </w:r>
    </w:p>
    <w:p>
      <w:r>
        <w:t>Das Bundesgericht ist funktionell unzuständig betreffend einer auf Art. 148 ZPO gestützten Wiederherstellung der verpassten vorgenannten Fristen. Ohnehin wäre der blosse Hinweis, nicht anwaltlich vertreten gewesen und deshalb nicht von der Rechtskraft des Scheidungsurteils in Kenntnis gesetzt worden zu sein, ungeeignet als Grundlage zur Stellung eines Fristwiederherstellungsgesuches.</w:t>
      </w:r>
    </w:p>
    <w:p>
      <w:r>
        <w:t>Auf die Vorbringen des Beschwerdeführers, er habe umfangreiche eigene Ermittlungen zu seiner Austrittsleistung geführt und es sei Art. 124b Abs. 3 ZGB grob verletzt worden, ist vor diesem Hintergrund mangels Ausschöpfung des Instanzenzuges ebenfalls nicht einzutreten.</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