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5A_852/2014 vom 23. März 2015</w:t>
      </w:r>
    </w:p>
    <w:p>
      <w:r>
        <w:t>Bundesgericht, 2015-03-23, FR</w:t>
      </w:r>
    </w:p>
    <w:p>
      <w:r>
        <w:rPr>
          <w:b/>
        </w:rPr>
        <w:t xml:space="preserve">Quelle: </w:t>
      </w:r>
      <w:r>
        <w:t>https://mcp.opencaselaw.ch/entscheid/bger_5A_852_2014</w:t>
      </w:r>
    </w:p>
    <w:p>
      <w:r>
        <w:t>FR: TF 5A_852/2014 du 23 mars 2015</w:t>
      </w:r>
    </w:p>
    <w:p>
      <w:r>
        <w:t>IT: TF 5A_852/2014 del 23 marzo 2015</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w:t>
      </w:r>
    </w:p>
    <w:p>
      <w:r>
        <w:rPr>
          <w:b/>
        </w:rPr>
        <w:t>E. 2</w:t>
      </w:r>
    </w:p>
    <w:p>
      <w:r>
        <w:t>En dépit du fait que la vente a eu lieu, le recourant conserve un intérêt digne de protection à ce qu'il soit statué sur la recevabilité de sa plainte pour déni de justice de l'office quant à l'ouverture de la procédure d'épuration des charges: une éventuelle annulation aurait un effet rétroactif et ferait tomber tous les actes de procédure qui en ont été la suite et cela, même si la plainte n'a pas été revêtue de l'effet suspensif (cf. ATF 56 III 110 ; arrêts 5A_327/2011 du 8 septembre 2011 consid. 2.2 et 2.3; 7B.97/2003 du 6 mai 2003 consid. 2.2; KURT AMONN/FRIDOLIN WALTHER, Grundriss des Schuldbetreibungs- und Konkursrechts, 9</w:t>
      </w:r>
    </w:p>
    <w:p>
      <w:r>
        <w:t>e éd., 2013, § 6 n</w:t>
      </w:r>
    </w:p>
    <w:p>
      <w:r>
        <w:t>os 66 und 74; PIERRE-ROBERT GILLIÉRON, Commentaire de la loi fédérale sur la poursuite pour dettes et la faillite, Vol. I: Articles 1-88, 1999, n</w:t>
      </w:r>
    </w:p>
    <w:p>
      <w:r>
        <w:t>o 13 ad art. 21 LP ; FRANCO LORANDI, Betreibungsrechtliche Beschwerde und Nichtigkeit, Kommentar zu den Artikeln 13-30 SchKG, 2000, n</w:t>
      </w:r>
    </w:p>
    <w:p>
      <w:r>
        <w:t>o 36 ad art. 21 LP et les références). Les arguments - rétrospectifs - de la banque, selon lesquels le maintien ou non des cédules hypothécaires en deuxième rang ne changera rien à la situation du recourant, dès lors que ces titres ne sont pas couverts par le prix d'adjudication et que, de toute façon, ils feront l'objet d'une radiation au Registre foncier selon les art. 68 et 69 ORFI , n'ont aucune pertinence à cet égard.</w:t>
      </w:r>
    </w:p>
    <w:p>
      <w:r>
        <w:rPr>
          <w:b/>
        </w:rPr>
        <w:t>E. 3</w:t>
      </w:r>
    </w:p>
    <w:p>
      <w:r>
        <w:t>Le recourant reproche à l'autorité cantonale d'avoir arbitrairement constaté qu'il serait probablement en possession des cédules hypothécaires au porteur en deuxième rang qui ont été portées à l'état des charges.</w:t>
      </w:r>
    </w:p>
    <w:p>
      <w:r>
        <w:t>Une telle critique est irrecevable. La constatation incriminée a été posée par l'autorité inférieure de surveillance, ainsi que l'a rapporté la Cour des poursuites et faillites dans son résumé des motifs de la décision de première instance. Il ne résulte pas de l'arrêt entrepris ni du recours à l'autorité supérieure que le recourant aurait contesté ce fait. Invoqué pour la première fois devant la Cour de céans, le grief est dès lors irrecevable, faute d'épuisement des instances ( ATF 135 III 1 consid. 1.2 et 424 consid. 3.2; 134 III 524 consid. 1.3).</w:t>
      </w:r>
    </w:p>
    <w:p>
      <w:r>
        <w:rPr>
          <w:b/>
        </w:rPr>
        <w:t>E. 4</w:t>
      </w:r>
    </w:p>
    <w:p>
      <w:r>
        <w:t>Le recourant soutient que la Cour des poursuites et faillites a violé l' art. 140 LP , et les art. 106 à 109 LP auxquels cette disposition renvoie, en considérant que l'office " n'avait pas à initier la procédure de contestation " et que, partant, il n'avait pas commis un déni de justice en refusant de le faire. Il prétend que contester le taux et le point de départ des intérêts revient à remettre en cause l'existence et l'étendue de la créance et que de tels griefs doivent être invoqués dans le cadre de la voie de l'opposition à l'état des charges.</w:t>
      </w:r>
    </w:p>
    <w:p>
      <w:r>
        <w:rPr>
          <w:b/>
        </w:rPr>
        <w:t>E. 4.1</w:t>
      </w:r>
    </w:p>
    <w:p>
      <w:r>
        <w:t>Après un bref exposé distinguant les cas ouvrant respectivement la voie de l'opposition et celle de la plainte, l'autorité supérieure de surveillance a jugé que le recourant n'avait contesté ni l'existence ni l'étendue ni le rang ni l'exigibilité des créances, qu'il s'était plaint initialement du taux et du point de départ de l'intérêt attribué aux cédules et que c'était dès lors à bon droit - pour les motifs exposés dans la décision attaquée - que l'office n'avait pas ouvert la procédure des art. 106 à 109 LP et n'avait pas assigné aux parties un rôle procédural dans un procès en contestation de l'état des charges. La plainte pour déni de justice ne pouvait donc qu'être rejetée.</w:t>
      </w:r>
    </w:p>
    <w:p>
      <w:r>
        <w:t>Selon les considérations de l'autorité inférieure auxquelles la cour cantonale a renvoyé, quand bien même leur titulaire était a priori inconnu, l'office devait porter à l'état des charges les quatre cédules hypothécaires au porteur dès lors qu'elles étaient inscrites au Registre foncier. Il apparaissait par ailleurs conforme aux art. 246 LP et 818 CC ainsi qu'à la jurisprudence ( ATF 116 III 85 : capital et intérêts courants) de tenir compte du taux d'intérêt maximal de 10% inscrit au Registre foncier dès la date du dépôt de la réquisition de vente du créancier hypothécaire. En outre, dans la mesure où il n'y avait pas de créanciers postérieurs, l'office n'avait pas à obtenir leur accord pour retenir un taux d'intérêt supérieur à 5%.</w:t>
      </w:r>
    </w:p>
    <w:p>
      <w:r>
        <w:rPr>
          <w:b/>
        </w:rPr>
        <w:t>E. 4.2</w:t>
      </w:r>
    </w:p>
    <w:p>
      <w:r>
        <w:t>A l'instar de l'état des charges dans la poursuite par voie de faillite ( art. 247 ss LP ; cf. ATF 119 III 84 consid. 2) - qui fait partie intégrante de l'état de collocation ( art. 125 al. 2 ORFI )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pour la doctrine: INGRID JENT-SÖRENSEN,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JENT-SÖRENSEN, op. cit., p. 178 ss; FRANCOIS BOHNET, Actions civiles, 2014, § 124, avec les références). Cette distinction est consacrée de longue date par la jurisprudence (cf. notamment: ATF 30 I 148 consid. 1; 38 I 273 ; 43 III 302 consid. 1; 57 III 131 consid. 1; 140 III 234 consid. 3.1).</w:t>
      </w:r>
    </w:p>
    <w:p>
      <w:r>
        <w:t>La contestation ne doit pas être motivée et ne doit pas non plus indiquer si elle porte sur la créance même, le droit de gage, le rang ou l'exigibilité ( JENT-SÖRENSEN, op. cit., n</w:t>
      </w:r>
    </w:p>
    <w:p>
      <w:r>
        <w:t>os 363 ss, p. 151 ss; KUHN, op. cit., n</w:t>
      </w:r>
    </w:p>
    <w:p>
      <w:r>
        <w:t>o</w:t>
      </w:r>
    </w:p>
    <w:p>
      <w:r>
        <w:rPr>
          <w:b/>
        </w:rPr>
        <w:t>E. 4.3</w:t>
      </w:r>
    </w:p>
    <w:p>
      <w:r>
        <w:t>En l'espèce, selon l'arrêt entrepris, invoquant l' art. 140 LP , le recourant a " contesté le taux d'intérêt calculé aux cédules de deuxième rang " ainsi que la date de départ des intérêts au 5 janvier 2011. Plus particulièrement, il a fait valoir que devait figurer à l'état des charges l'intérêt moratoire ordinaire de 5%, ainsi qu'il en allait pour la Banque B.________, et que les intérêts devaient courir dès le jour de la vente, dès lors que le détenteur des titres ne les avait pas produits.</w:t>
      </w:r>
    </w:p>
    <w:p>
      <w:r>
        <w:t>Face à une telle requête, la Cour des poursuites et faillites ne pouvait se retrancher, par renvoi aux motifs de l'autorité inférieure de surveillance, derrière l'obligation, découlant de l' art. 36 al. 2 ORFI (cf. aussi ATF 112 III 102 consid. 1; 121 III 24 consid. 2b et les références), pour l'office de porter à l'état des charges celles figurant dans l'extrait du Registre foncier. Il ne ressort pas du courrier du recourant que celui-ci aurait reproché à l'office d'avoir porté à l'état des charges le taux de 10% ou qu'il se serait prévalu d'un autre défaut de nature formelle, comme une erreur de report ou une transcription peu claire ou incomplète, griefs pouvant faire l'objet d'une plainte. Il apparaît qu'il s'est plaint de l'application à la créance du taux d'intérêt de 10 % tel qu'il résultait du Registre foncier et du point de départ des intérêts. Contrairement à ce qu'a retenu l'autorité cantonale, il s'en est ainsi pris à l'étendue de la créance garantie (cf. art. 818 CC ; cf. GILLIÉRON, Commentaire de la loi fédérale sur la poursuite pour dettes et la faillite, Vol. II: Articles 89-158, 2000, n</w:t>
      </w:r>
    </w:p>
    <w:p>
      <w:r>
        <w:t>o 53 ad art. 140 LP ; DAVID DÜRR/DANIEL ZOLLINGER, in Zürcher Kommentar, vol. IV/2b/2, 2</w:t>
      </w:r>
    </w:p>
    <w:p>
      <w:r>
        <w:t>e éd., 2013, n</w:t>
      </w:r>
    </w:p>
    <w:p>
      <w:r>
        <w:t>os</w:t>
      </w:r>
    </w:p>
    <w:p>
      <w:r>
        <w:rPr>
          <w:b/>
        </w:rPr>
        <w:t>E. 6</w:t>
      </w:r>
    </w:p>
    <w:p>
      <w:r>
        <w:t>Vu ce qui précède, le recours doit être admis dans la mesure de sa recevabilité et l'arrêt cantonal annulé et réformé en ce sens que l'office des poursuites est invité à donner suite à l'opposition du recourant du 21 octobre 2013 dans le sens des considérants.</w:t>
      </w:r>
    </w:p>
    <w:p>
      <w:r>
        <w:t>Dès lors qu'ils succombent (cf. ATF 123 V 156 consid. 3 s'agissant de l'ECA qui, invitée à présenter ses observations, n'a formulé aucune conclusion devant le Tribunal fédéral), les intimés supporteront, solidairement entre eux (art. 66 al. 5 et 68 al. 4 LTF), les frais judiciaires ( art. 66 al. 1 LTF ) et verseront des dépens au recourant qui a agi avec le concours d'un avocat ( art. 68 al. 1 et 2 LTF ). La demande d'assistance judiciaire du recourant est ainsi sans objet ( ATF 136 I 129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