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5A_851/2011 vom 31. Januar 2012</w:t>
      </w:r>
    </w:p>
    <w:p>
      <w:r>
        <w:t>Bundesgericht, 2012-01-31, FR</w:t>
      </w:r>
    </w:p>
    <w:p>
      <w:r>
        <w:rPr>
          <w:b/>
        </w:rPr>
        <w:t xml:space="preserve">Quelle: </w:t>
      </w:r>
      <w:r>
        <w:t>https://mcp.opencaselaw.ch/entscheid/bger_5A_851_2011</w:t>
      </w:r>
    </w:p>
    <w:p>
      <w:r>
        <w:t>FR: TF 5A_851/2011 du 31 janvier 2012</w:t>
      </w:r>
    </w:p>
    <w:p>
      <w:r>
        <w:t>IT: TF 5A_851/2011 del 31 gennaio 2012</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Le Tribunal fédéral statue sur la base des faits établis par l'autorité précédente ( art. 105 al. 1 LTF ); le recourant ne peut critiquer les constatations de fait que si ces faits ont été établis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2</w:t>
      </w:r>
    </w:p>
    <w:p>
      <w:r>
        <w:t>Le recourant reproche à l'autorité cantonale de surveillance d'avoir retenu, en fait, que l'avis de séquestre du 25 juillet 2011 avait été notifié à l'ONU. Il s'agirait là d'une constatation manifestement inexacte au sens des art. 97 al. 1 et 105 al. 2 LTF.</w:t>
      </w:r>
    </w:p>
    <w:p>
      <w:r>
        <w:t>Il ne ressort nullement de la décision attaquée que l'acte en question a été notifié en mains de l'ONU. L'acte a certes été établi à l'adresse de celle-ci, mais avec la mention "par la voie diplomatique", c'est-à-dire qu'il devait être communiqué par l'entremise de la Mission permanente. Or, la décision attaquée retient justement, en reproduisant le contenu d'un courrier de la Mission permanente du 27 juillet 2011, que la notification n'a pas eu lieu et que l'avis de séquestre a été retourné à l'office parce que l'ONU, en raison du statut dont elle jouissait, n'était pas à même d'exécuter une décision visant à la saisie du salaire, des indemnités ou autres montants de l'un de ses fonctionnaires.</w:t>
      </w:r>
    </w:p>
    <w:p>
      <w:r>
        <w:t>Le grief du recourant doit donc être rejeté.</w:t>
      </w:r>
    </w:p>
    <w:p>
      <w:r>
        <w:rPr>
          <w:b/>
        </w:rPr>
        <w:t>E. 3</w:t>
      </w:r>
    </w:p>
    <w:p>
      <w:r>
        <w:t>Le recourant soutient que c'est à tort que l'autorité cantonale de surveillance a considéré que la présente cause différait de celles ayant abouti aux arrêts du Tribunal fédéral 5P.464/1994 du 22 juin 1995 et 5P.156/2003 du 7 juillet 2003 et qu'elle a inféré des circonstances données que l'ONU refuserait d'exécuter le séquestre.</w:t>
      </w:r>
    </w:p>
    <w:p>
      <w:r>
        <w:rPr>
          <w:b/>
        </w:rPr>
        <w:t>E. 3.1</w:t>
      </w:r>
    </w:p>
    <w:p>
      <w:r>
        <w:t>L'arrêt 5P.464/1994 du 22 juin 1995 concernait le séquestre du salaire d'un fonctionnaire du Bureau International du Travail. L'autorité cantonale avait rejeté la requête de séquestre. Le Tribunal fédéral a admis le recours du poursuivant sur la base des considérations brièvement rappelées ci-après.</w:t>
      </w:r>
    </w:p>
    <w:p>
      <w:r>
        <w:rPr>
          <w:b/>
        </w:rPr>
        <w:t>E. 3.1.1</w:t>
      </w:r>
    </w:p>
    <w:p>
      <w:r>
        <w:t>Il n'est en principe pas possible de saisir ou de séquestrer, sur les biens de l'organisation (Organisation Internationale du Travail en l'occurrence), le traitement d'un fonctionnaire, ces biens jouissant de l'immunité d'exécution et de l'inviolabilité. Toutefois, l'avis au tiers débiteur prévu par l' art. 99 LP n'est pas une condition essentielle de la validité de la saisie et, donc, du séquestre; il a surtout pour but d'éviter que le tiers débiteur ne s'acquitte en mains du débiteur poursuivi et d'empêcher qu'il ne vienne un jour opposer à l'adjudicataire l'exception tirée de l' art. 167 CO (consid. 3b).</w:t>
      </w:r>
    </w:p>
    <w:p>
      <w:r>
        <w:rPr>
          <w:b/>
        </w:rPr>
        <w:t>E. 3.1.2</w:t>
      </w:r>
    </w:p>
    <w:p>
      <w:r>
        <w:t>Il est vrai qu'un séquestre (ou une saisie) de salaire non suivi de l'avis au tiers débiteur demeure sans effet certain. Il faut toutefois tenir compte du fait que le tiers débiteur peut avoir été informé du séquestre (ou de la saisie) autrement que par l'office et il n'est pas dit qu'il ne se sente pas tenu, en pareil cas, de verser à ce dernier la part de la créance qui a été séquestrée (respectivement saisie). Il se peut également que le débiteur poursuivi, qui sait ou est censé savoir qu'il n'a pas le droit de disposer d'une partie de la créance, vienne lui-même remettre à l'office la somme séquestrée. Il n'est pas douteux que l'office doit, dans l'un comme dans l'autre cas, considérer le versement comme fait en exécution du séquestre, car si le fait pour le débiteur d'encaisser la part de la créance séquestrée peut être considéré en soi comme un acte de disposition, cet acte devrait alors être réputé accompli dans l'intérêt du créancier séquestrant, autrement dit avec l'assentiment tacite de l'office (consid. 3c).</w:t>
      </w:r>
    </w:p>
    <w:p>
      <w:r>
        <w:rPr>
          <w:b/>
        </w:rPr>
        <w:t>E. 3.1.3</w:t>
      </w:r>
    </w:p>
    <w:p>
      <w:r>
        <w:t>Quant à l'application au cas particulier, le Tribunal fédéral a considéré ce qui suit (consid. 4). Aux termes de l'accord conclu entre le Conseil fédéral et l'organisation (OIT; RS 0.192.120.282), le poursuivi ne jouissait pas de l'immunité de juridiction et il ne semblait pas avoir contracté la dette objet de l'exécution dans le cadre des actes accomplis dans l'exercice de sa fonction. Il y avait donc suffisamment de raisons pour retenir qu'un séquestre déploierait tous ses effets, attendu qu'aux termes de l'accord (art. 22) l'organisation s'était engagée à coopérer en tout temps avec les autorités suisses en vue de faciliter une bonne administration de la justice, d'assurer l'observation des règlements de police et d'empêcher tout abus des privilèges, immunités et facilités prévus par l'accord même. Rien n'empêchait, dès lors, un représentant de l'autorité de s'enquérir auprès de qui de droit, à titre officieux, du montant du salaire et des charges de l'employé, et d'informer ensuite les organes de l'organisation de l'exécution du séquestre auprès du débiteur. Il était donc vraisemblable que l'organisation, loin de s'opposer à l'exécution du séquestre, consentirait, eu égard à l'obligation de coopération prévue par l'accord, à se prêter à l'accomplissement de mesures qui devaient en assurer l'efficacité. Bien qu'il ne s'agît pas d'une communication officielle à l'organisation, mais seulement d'une information, cette voie offrait une solution qui non seulement semblait dictée par l'accord lui-même, mais qui était aussi approuvée par la doctrine.</w:t>
      </w:r>
    </w:p>
    <w:p>
      <w:r>
        <w:rPr>
          <w:b/>
        </w:rPr>
        <w:t>E. 3.2</w:t>
      </w:r>
    </w:p>
    <w:p>
      <w:r>
        <w:t>L'arrêt 5P.156/2003 du 7 juillet 2003 concernait une cause dont les faits étaient similaires. Statuant également sur un recours dirigé contre une ordonnance de rejet de la requête de séquestre portant sur la quotité saisissable des rémunérations échues et à échoir dues au débiteur par l'Organisation Mondiale de la Propriété Intellectuelle (OMPI), le Tribunal fédéral a appliqué les mêmes principes pour admettre le recours.</w:t>
      </w:r>
    </w:p>
    <w:p>
      <w:r>
        <w:rPr>
          <w:b/>
        </w:rPr>
        <w:t>E. 3.3</w:t>
      </w:r>
    </w:p>
    <w:p>
      <w:r>
        <w:t>La présente cause est différente de celles qui ont fait l'objet des deux arrêts précités en ce sens déjà que la requête de séquestre a été, non pas rejetée, mais admise.</w:t>
      </w:r>
    </w:p>
    <w:p>
      <w:r>
        <w:t>Elle l'est en outre par le fait que les organes de l'organisation (ONU) ont été informés du séquestre. Il ressort en effet des divers courriers de juin à septembre 2011 mentionnés en fait (let. B ci-dessus) que, priée par l'office le 8 juin 2011, "à titre officieux, soit sans pouvoir de contrainte", de s'enquérir auprès de l'ONU du revenu et des charges de la poursuivie, la Mission permanente est intervenue auprès du Conseiller juridique principal de l'ONU pour solliciter les renseignements souhaités en se référant à l'ordonnance de séquestre du 13 mai 2011 et au considérant 4 de l'arrêt du Tribunal fédéral du 22 juin 1995 susmentionné (lettres de la Mission permanente du 16 juin 2011). Sur quoi, l'ONU a communiqué à la Mission permanente une attestation datée du 30 juin 2011 relative au traitement (brut et net) de la poursuivie pour le mois de juin 2011. Sollicitée à nouveau par l'office d'intervenir auprès de l'ONU pour connaître les charges de la poursuivie et inviter cette dernière à le contacter pour présenter les pièces justificatives, la Mission permanente lui a fait savoir, le 19 juillet 2011, que l'ONU ne serait pas en mesure de répondre s'agissant des charges courantes et privées de la poursuivie, et que "lorsqu'un séquestre aura été ordonné au préjudice de [la poursuivie] et qu'il aura été exécuté, il vous suffira d'en informer la Mission suisse qui le précisera à l'ONU/HCR". Ainsi qu'il a été relevé en fait (let. B ci-dessus), l'office a dès lors établi, le 25 juillet 2011, l'avis de séquestre de salaire qu'il a adressé à l'ONU via la Mission permanente et que celle-ci lui a retourné au motif qu'elle ne pouvait le notifier à l'ONU, cette organisation n'étant pas à même d'exécuter une décision de séquestre portant sur le salaire, les indemnités ou autres montants de l'un de ses fonctionnaires.</w:t>
      </w:r>
    </w:p>
    <w:p>
      <w:r>
        <w:t>Force est d'admettre dans ces circonstances, avec l'autorité cantonale de surveillance, que l'office a fait ce qui était requis de sa part aux termes de la jurisprudence susmentionnée; il ne pouvait ni ne devait effectuer d'autres démarches que celles qu'il avait déjà entreprises et sa décision de non-lieu de séquestre n'était donc pas critiquable, vu l'impossibilité de notification qui lui a été opposée.</w:t>
      </w:r>
    </w:p>
    <w:p>
      <w:r>
        <w:t>Les griefs soulevés sur ce point sont donc infondés.</w:t>
      </w:r>
    </w:p>
    <w:p>
      <w:r>
        <w:rPr>
          <w:b/>
        </w:rPr>
        <w:t>E. 4</w:t>
      </w:r>
    </w:p>
    <w:p>
      <w:r>
        <w:t>Dans un autre grief, qu'il ne développe pas, le recourant doute de la pertinence de la référence faite par l'autorité cantonale de surveillance à l'Art. II, section 2 de l'accord, qui prévoit que les biens et avoirs de l'organisation (ONU) en Suisse ne peuvent faire l'objet de perquisition, réquisition, confiscation, expropriation ou de toute autre forme de contrainte exécutive, administrative, judiciaire ou législative. Il fait valoir que le séquestre porte sur une créance de la poursuivie à l'égard de l'ONU et non pas sur des biens de cette organisation en tant que tels. Le grief est infondé au regard des arrêts 5P.464/1994 et 5P.156/2003 susmentionnés, qui considèrent qu'il n'est en principe pas possible de saisir ou séquestrer, sur les biens de l'organisation, le traitement d'un fonctionnaire, ces biens jouissant de l'immunité d'exécution et de l'inviolabilité (cf. consid. 3.1.1 et 3.2 ci-dessus).</w:t>
      </w:r>
    </w:p>
    <w:p>
      <w:r>
        <w:rPr>
          <w:b/>
        </w:rPr>
        <w:t>E. 5</w:t>
      </w:r>
    </w:p>
    <w:p>
      <w:r>
        <w:t>Enfin, le présent recours ne pouvant avoir d'autre objet que la décision de l'autorité cantonale de surveillance en matière de poursuite pour dettes et de faillite (art. 72 al. 2 let. a et 75 al. 1 LTF), le Tribunal fédéral ne saurait se prononcer sur le grief du recourant reprochant à la Mission permanente de faire indûment obstruction à la transmission de l'avis de séquestre à l'ONU.</w:t>
      </w:r>
    </w:p>
    <w:p>
      <w:r>
        <w:rPr>
          <w:b/>
        </w:rPr>
        <w:t>E. 6</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