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5A_849/2025 vom 8. Oktober 2025</w:t>
      </w:r>
    </w:p>
    <w:p>
      <w:r>
        <w:t>Bundesgericht, 2025-10-08, DE</w:t>
      </w:r>
    </w:p>
    <w:p>
      <w:r>
        <w:rPr>
          <w:b/>
        </w:rPr>
        <w:t xml:space="preserve">Quelle: </w:t>
      </w:r>
      <w:r>
        <w:t>https://mcp.opencaselaw.ch/entscheid/bger_5A_849_2025</w:t>
      </w:r>
    </w:p>
    <w:p>
      <w:r>
        <w:t>FR: TF 5A_849/2025 du 8 octobre 2025</w:t>
      </w:r>
    </w:p>
    <w:p>
      <w:r>
        <w:t>IT: TF 5A_849/2025 del 8 ottobre 2025</w:t>
      </w:r>
    </w:p>
    <w:p>
      <w:pPr>
        <w:pStyle w:val="Heading2"/>
      </w:pPr>
      <w:r>
        <w:t>Erwägungen</w:t>
      </w:r>
    </w:p>
    <w:p>
      <w:r>
        <w:rPr>
          <w:b/>
        </w:rPr>
        <w:t>E. 1</w:t>
      </w:r>
    </w:p>
    <w:p>
      <w:r>
        <w:t>Angefochten ist ein kantonal letztinstanzlicher Rückweisungsentscheid in einer Scheidungsangelegenheit ( Art. 72 Abs. 1 und Art. 75 Abs. 1 BGG ). Der Rückweisungsentscheid führt zu keinem Verfahrensabschluss und er ist daher ein Zwischenentscheid ( BGE 144 III 253 E. 1.3; 144 IV 321 E. 2.3). Als Zwischenentscheid ist er nur unter den besonderen Voraussetzungen von Art. 93 Abs. 1 BGG sofort mit Beschwerde in Zivilsachen anfechtbar ( BGE 145 III 42 E. 2.1; 148 IV 155 E. 1.1). Diese restriktiv zu handhabenden Voraussetzungen sind in der Beschwerde im Einzelnen darzulegen ( BGE 144 III 475 E. 1.2; 150 III 248 E. 1.2). Es bleibt die Möglichkeit, im Anschluss an den aufgrund des Rückweisungsentscheides neu ergehenden Endentscheid an das Bundesgericht zu gelangen ( Art. 93 Abs. 3 BGG ). Grundgedanke dabei ist, dass das Bundesgericht sich soweit möglich nur einmal mit der gleichen Sache befassen soll ( BGE 144 III 475 E. 1.2; 148 IV 155 E. 1.1).</w:t>
      </w:r>
    </w:p>
    <w:p>
      <w:r>
        <w:t>Die Beschwerde enthält keine Begründung zu den Eintretensvoraussetzungen von Art. 93 Abs. 1 BGG und erwähnt diese Norm nicht einmal. Sie bleibt damit unbegründet.</w:t>
      </w:r>
    </w:p>
    <w:p>
      <w:r>
        <w:rPr>
          <w:b/>
        </w:rPr>
        <w:t>E. 2</w:t>
      </w:r>
    </w:p>
    <w:p>
      <w:r>
        <w:t>Im Übrigen beschränkt sich die Beschwerdeführerin auf ein kassatorisches Rechtsbegehren. Dies ist ungenügend, weil die Beschwerde in Zivilsachen ein reformatorisches Rechtsmittel ist und deshalb Begehren zur Sache selbst zu stellen sind ( Art. 107 Abs. 2 BGG ; BGE 133 III 489 E. 3.1; 134 III 379 E. 1.3; 137 II 313 E. 1.3 ; 147 I 89 E. 1.2.5). So wie das Rechtsbegehren lautet, könnte es nicht umgesetzt werden, weil keine Anträge zum gewünschten Ausgang des obergerichtlichen Verfahrens gestellt werden.</w:t>
      </w:r>
    </w:p>
    <w:p>
      <w:r>
        <w:rPr>
          <w:b/>
        </w:rPr>
        <w:t>E. 3</w:t>
      </w:r>
    </w:p>
    <w:p>
      <w:r>
        <w:t>Nach dem Gesagten enthält die Beschwerde keine genügenden Rechtsbegehren und sie erweist sich auch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