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849/2021 vom 14. Oktober 2021</w:t>
      </w:r>
    </w:p>
    <w:p>
      <w:r>
        <w:t>Bundesgericht, 2021-10-14, DE</w:t>
      </w:r>
    </w:p>
    <w:p>
      <w:r>
        <w:rPr>
          <w:b/>
        </w:rPr>
        <w:t xml:space="preserve">Quelle: </w:t>
      </w:r>
      <w:r>
        <w:t>https://mcp.opencaselaw.ch/entscheid/bger_5A_849_2021</w:t>
      </w:r>
    </w:p>
    <w:p>
      <w:r>
        <w:t>FR: TF 5A 849/2021 du 14 octobre 2021</w:t>
      </w:r>
    </w:p>
    <w:p>
      <w:r>
        <w:t>IT: TF 5A 849/2021 del 14 ottobre 2021</w:t>
      </w:r>
    </w:p>
    <w:p>
      <w:pPr>
        <w:pStyle w:val="Heading2"/>
      </w:pPr>
      <w:r>
        <w:t>Regeste</w:t>
      </w:r>
    </w:p>
    <w:p>
      <w:r>
        <w:t>Eintragung eines Pfandrechts | Sachenrecht</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139 II 233 E. 3.2 S. 235). 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 Ausserdem hat die Beschwerde ein Rechtsbegehren zu enthalten ( Art. 42 Abs. 1 BGG ).</w:t>
      </w:r>
    </w:p>
    <w:p>
      <w:r>
        <w:rPr>
          <w:b/>
        </w:rPr>
        <w:t>E. 2</w:t>
      </w:r>
    </w:p>
    <w:p>
      <w:r>
        <w:t>Die Eingabe des Beschwerdeführers enthält weder ein Rechtsbegehren noch eine sachgerichtete Begründung, welche auf den angefochtenen Entscheid Bezug nehmen würde. Es erfolgen polemische Ausführungen gegen käufliche und betrügerische Gerichte und dass die KESB mit Tricks versuche, seinen Gesundheitszustand zu überprüfen. Ferner erfolgen Aussagen dahingehend, dass ein Rechtsvertreter kein Recht habe, sich in Stockwerkangelegenheiten einzumischen, und dass er gegenüber der Stockwerkeigentümergemeinschaft ein Guthaben von rund Fr. 90'000.-- habe.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