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5A_847/2023 vom 10. November 2023</w:t>
      </w:r>
    </w:p>
    <w:p>
      <w:r>
        <w:t>Bundesgericht, 2023-11-10, DE</w:t>
      </w:r>
    </w:p>
    <w:p>
      <w:r>
        <w:rPr>
          <w:b/>
        </w:rPr>
        <w:t xml:space="preserve">Quelle: </w:t>
      </w:r>
      <w:r>
        <w:t>https://mcp.opencaselaw.ch/entscheid/bger_5A_847_2023</w:t>
      </w:r>
    </w:p>
    <w:p>
      <w:r>
        <w:t>FR: TF 5A_847/2023 du 10 novembre 2023</w:t>
      </w:r>
    </w:p>
    <w:p>
      <w:r>
        <w:t>IT: TF 5A_847/2023 del 10 novembre 2023</w:t>
      </w:r>
    </w:p>
    <w:p>
      <w:pPr>
        <w:pStyle w:val="Heading2"/>
      </w:pPr>
      <w:r>
        <w:t>Erwägungen</w:t>
      </w:r>
    </w:p>
    <w:p>
      <w:r>
        <w:rPr>
          <w:b/>
        </w:rPr>
        <w:t>E. 1</w:t>
      </w:r>
    </w:p>
    <w:p>
      <w:r>
        <w:t>Angefochten ist ein Zwischenentscheid betreffend Kenntnisgabe von Bemerkungen in einem Verfahren betreffend erbrechtliche Siegelung, die nur unter den besonderen Voraussetzungen von Art. 93 Abs. 1 BGG mit Beschwerde beim Bundesgericht angefochten werden kann (ausführlich zum nicht wieder gutzumachenden Nachteil insb. BGE 142 III 798 E. 2.2), wobei diese in der Beschwerde darzutun sind ( BGE 137 III 324 E. 1.1; 141 III 80 E. 1.2; 141 IV 289 E. 1.3).</w:t>
      </w:r>
    </w:p>
    <w:p>
      <w:r>
        <w:t>Ferner ist zu beachten, dass das Obergericht auf das Rechtsmittel des Beschwerdeführers nicht eingetreten ist. Anfechtungsgegenstand im bundesgerichtlichen Verfahren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äussert sich weder zu den besonderen Voraussetzungen der Anfechtbarkeit nach Art. 93 Abs. 1 BGG noch zu den Nichteintretenserwägungen des angefochtenen Entscheides. Vielmehr scheint er sich, soweit seine Ausführungen verständlich sind, daran zu stören, dass die Staatsanwaltschaft bei Anzeigen wegen Hausfriedensbruchs und Diebstahls nur langsam voranmache und die Polizei in Bezug auf die zur Siegelung der Erbmasse anstehenden Geschäfte vertusche und Dienstverweigerung betreibe; ferner äussert sich der Beschwerdeführer zu seinem Gesundheitszustand und dass er als Behinderter illegal diskriminiert werde, was bei ihm Schäden im Straf- und Betreibungsregister zur Folge habe.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