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5A_846/2009 vom 12. März 2010</w:t>
      </w:r>
    </w:p>
    <w:p>
      <w:r>
        <w:t>Bundesgericht, 2010-03-12, FR</w:t>
      </w:r>
    </w:p>
    <w:p>
      <w:r>
        <w:rPr>
          <w:b/>
        </w:rPr>
        <w:t xml:space="preserve">Quelle: </w:t>
      </w:r>
      <w:r>
        <w:t>https://mcp.opencaselaw.ch/entscheid/bger_5A_846_2009</w:t>
      </w:r>
    </w:p>
    <w:p>
      <w:r>
        <w:t>FR: TF 5A_846/2009 du 12 mars 2010</w:t>
      </w:r>
    </w:p>
    <w:p>
      <w:r>
        <w:t>IT: TF 5A_846/2009 del 12 marzo 2010</w:t>
      </w:r>
    </w:p>
    <w:p>
      <w:pPr>
        <w:pStyle w:val="Heading2"/>
      </w:pPr>
      <w:r>
        <w:t>Erwägungen</w:t>
      </w:r>
    </w:p>
    <w:p>
      <w:r>
        <w:rPr>
          <w:b/>
        </w:rPr>
        <w:t>E. 1.1</w:t>
      </w:r>
    </w:p>
    <w:p>
      <w:r>
        <w:t>La décision attaquée est une décision finale ( art. 90 LTF ), rendue en matière civile (art. 72 al. 1), par l'autorité cantonale de dernière instance ( art. 75 LTF ), dans une affaire dont la valeur litigieuse de 30'000 fr. est atteinte ( art. 74 al. 1 let. b LTF ). Le recours a par ailleurs été interjeté dans le délai prévu par la loi ( art. 100 al. 1 LTF ), par les parties qui ont succombé dans leurs conclusions devant l'instance précédente ( art. 76 al. 1 LTF ), de sorte que le recours en matière civile est recevable, à l'exclusion du recours constitutionnel subsidiaire.</w:t>
      </w:r>
    </w:p>
    <w:p>
      <w:r>
        <w:rPr>
          <w:b/>
        </w:rPr>
        <w:t>E. 1.2</w:t>
      </w:r>
    </w:p>
    <w:p>
      <w:r>
        <w:t>Les recourants méconnaissent que le choix entre la voie du recours en matière civile et celle du recours constitutionnel subsidiaire dépend de la nature de l'affaire et, si elle est pécuniaire, de la valeur litigieuse (AF 133 III 446 consid. 3.1 p. 448), ainsi que, exceptionnellement, de l'existence d'une question juridique de principe ( art. 74 al. 2 let. a LTF ). Le grief d'arbitraire dans l'appréciation des preuves ( art. 9 Cst. ), invoqué dans le recours constitutionnel subsidiaire, sera donc traité dans le recours en matière civile, dont les conditions de recevabilité sont remplies.</w:t>
      </w:r>
    </w:p>
    <w:p>
      <w:r>
        <w:rPr>
          <w:b/>
        </w:rPr>
        <w:t>E. 2.1</w:t>
      </w:r>
    </w:p>
    <w:p>
      <w:r>
        <w:t>Saisi d'un recours en matière civile, le Tribunal fédéral applique en principe le droit d'office ( art. 106 al. 1 LTF ). Il n'examine toutefois les griefs de violation des droits constitutionnels, et notamment la violation de l'interdiction de l'arbitraire, que s'ils sont invoqués et motivés par le recourant ( art. 106 al. 2 LTF ), c'est-à-dire s'ils ont été expressément soulevés et exposés de façon claire et détaillée. Pour de tels griefs, l'exigence de motivation correspond à celle qui résultait de l' art. 90 al. 1 let. b OJ pour le recours de droit public ( ATF 133 III 393 consid. 6; 639 consid. 2; 133 IV 286 consid. 1.4). Le recourant qui se plaint d'arbitraire ne saurait dès lors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w:t>
      </w:r>
    </w:p>
    <w:p>
      <w:r>
        <w:rPr>
          <w:b/>
        </w:rPr>
        <w:t>E. 2.2</w:t>
      </w:r>
    </w:p>
    <w:p>
      <w:r>
        <w:t>Le Tribunal fédéral ne peut s'écarter des faits établis par l'autorité précédente que si ceux-là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le Tribunal fédéral n'examine en effet la violation de l'interdiction de l'arbitraire que si un tel grief a été invoqué et motivé par le recourant ( art. 106 al. 2 LTF ; consid. 2.1 supra).</w:t>
      </w:r>
    </w:p>
    <w:p>
      <w:r>
        <w:rPr>
          <w:b/>
        </w:rPr>
        <w:t>E. 3.1</w:t>
      </w:r>
    </w:p>
    <w:p>
      <w:r>
        <w:t>Aux termes de l' art. 971 al. 1 CC ,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 en matière de servitudes, l' 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130 III 554 consid. 3.1; 121 III 52 consid. 2a; arrêt 5C.126/2004 du 21 octobre 2004 consid. 2.3 in RNRF 2005 307).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w:t>
      </w:r>
    </w:p>
    <w:p>
      <w:r>
        <w:rPr>
          <w:b/>
        </w:rPr>
        <w:t>E. 3.2</w:t>
      </w:r>
    </w:p>
    <w:p>
      <w:r>
        <w:t>Dans le domaine du principe absolu de l'inscription ( art. 971 CC ), la règle de l'inscription est tenue en échec par le principe de la légalité (ou de la causalité), principe que la jurisprudence déduit de l' art. 974 al. 2 CC ( ATF 64 II 284 consid. 2a; cf. également PAUL-HENRI STEINAUER, tome I, 4e éd., 2007, n. 138; Henri Deschenaux, Le Registre foncier, in: Traité de droit privé suisse, volume 5, tome II/2, 1983, p. 599; Arthur Homberger, Zürcher Kommentar, 1938, n. 3 ad art. 974 CC ). Aux termes de cette dernière disposition, l'inscription est faite indûment lorsqu'elle a été opérée sans droit ou en vertu d'un acte juridique non obligatoire. L'inscription constitutive est indue chaque fois qu'il manque l'une de ses deux conditions matérielles, à savoir un titre juridique valable (acte générateur d'obligations) et une réquisition émanant de la personne compétente (acte de disposition; Steinauer, n. 908; Deschenaux, op. cit., p. 599 ss; Homberger, op. cit., n. 3 ad art. 974 CC ). Est ainsi indue l'inscription opérée sur la base d'une vente nulle en raison d'un vice de forme ou invalidée pour vice de la volonté; l'absence de réquisition d'inscription ou le vice de la volonté dont celle-ci est entachée rendent aussi indue l'opération effectuée (Deschenaux, op. cit., p. 600; Homberger, op. cit., n. 8 ad art. 974 CC et les références; Fritz Ostertag, Berner Kommentar, 1912, n. 10 ad art. 974 CC ; STEINAUER, n. 909). Le redressement d'une inscription opérée indûment au Registre foncier peut être obtenu par l'action en rectification du Registre foncier ( art. 975 CC ; ATF 117 II 143 consid. 4a; 133 III 641 consid. 3.1.1; DESCHENAUX, op. cit., p. 661; STEINAUER, n. 954 s.).</w:t>
      </w:r>
    </w:p>
    <w:p>
      <w:r>
        <w:rPr>
          <w:b/>
        </w:rPr>
        <w:t>E. 3.3</w:t>
      </w:r>
    </w:p>
    <w:p>
      <w:r>
        <w:t>L'inscription indue ne produit pas d'effets, sous réserve de la protection de l'acquéreur de bonne foi ( art. 973 CC ). Ainsi, elle ne produit pas d'effets entre les parties initiales, à savoir les personnes directement impliquées dans le rapport juridique (Steinauer, n. 914; DESCHENAUX, op. cit., p. 591), ni à l'égard des tiers qui savent qu'elle est indue ou qui auraient dû le savoir. Ces "tiers de mauvaise foi" ne peuvent invoquer l'inscription indue ( art. 974 al. 1 CC ) et contre eux, celui dont les droits réels sont lésés par l'inscription peut invoquer directement l'irrégularité de celle-ci ( art. 974 al. 3 CC ; STEINAUER, n. 915; HOMBERGER, n. 10 ss ad art. 974).</w:t>
      </w:r>
    </w:p>
    <w:p>
      <w:r>
        <w:t>Si la bonne foi du tiers acquéreur est présumée ( art. 3 al. 1 CC ), celui-ci est toutefois déchu du droit de l'invoquer si elle est incompatible avec l'attention que les circonstances permettaient d'exiger de lui ( art. 3 al. 2 CC ).</w:t>
      </w:r>
    </w:p>
    <w:p>
      <w:r>
        <w:rPr>
          <w:b/>
        </w:rPr>
        <w:t>E. 4.1</w:t>
      </w:r>
    </w:p>
    <w:p>
      <w:r>
        <w:t>En l'espèce, la cour cantonale a retenu que l'inscription au Registre foncier faisait état, entre autres, d'une servitude de passage pour véhicules. Elle a ensuite examiné si les pièces justificatives, et en particulier le plan annexé à l'inscription, contenaient une inexactitude dès le départ. Appréciant les déclarations de C.________, D.________ et Me Y.________ - notaire ayant instrumenté l'acte notarié prévoyant la constitution des servitudes -, les juges cantonaux ont retenu que la volonté réelle des parties au contrat de servitude était de créer une servitude de passage en voiture, permettant aux propriétaires de la parcelle 121a d'accéder de façon motorisée à leur terrain. La juridiction cantonale en a dès lors déduit que le plan déposé au Registre foncier, daté du 7 novembre 1986, ne correspondait pas à la volonté des parties puisque la servitude de passage à véhicules qui y avait été reportée ne se prolongeait pas jusqu'à la parcelle 121a, contrairement au plan qu'elles avaient signé le 17 octobre 1986. L'action en rectification du Registre foncier était en conséquence ouverte aux recourants.</w:t>
      </w:r>
    </w:p>
    <w:p>
      <w:r>
        <w:rPr>
          <w:b/>
        </w:rPr>
        <w:t>E. 4.1.1</w:t>
      </w:r>
    </w:p>
    <w:p>
      <w:r>
        <w:t>Les recourants contestent avant tout l'appréciation que la cour cantonale a donnée à la volonté réelle des parties au contrat constitutif de servitude. Ils se limitent alors à la qualifier de fausse, d'inexacte et d'arbitraire, estimant qu'elle serait contraire à la réalité, aux pièces du dossier et aux témoignages, notamment à celui de E.________. Par leur critique, les recourants ne s'en prennent cependant nullement à la motivation de la cour cantonale, ni aux faits déterminants, à savoir la volonté réelle des parties au contrat de servitude telle qu'elle résulte des déclarations sur lesquelles s'est fondée la cour cantonale. Appellatoire, elle est dès lors irrecevable (consid. 2.1 supra).</w:t>
      </w:r>
    </w:p>
    <w:p>
      <w:r>
        <w:t>Au contraire des juges cantonaux, les recourants prétendent ensuite que le plan du 7 novembre 1986 correspondrait exactement à la volonté des parties, contrairement au plan du 17 octobre 1986, qui n'avait d'ailleurs jamais été inscrit au Registre foncier. Or, les recourants ne sauraient remettre en cause la conclusion cantonale dans la mesure où celle-ci constitue la conséquence logique de l'appréciation de la volonté réelle des parties, dont ils ne sont pas parvenus à démontrer l'arbitraire.</w:t>
      </w:r>
    </w:p>
    <w:p>
      <w:r>
        <w:t>Les recourants affirment également que les intimés n'auraient jamais exercé leur servitude comme mentionné dans le plan du 17 octobre 1986: s'ils avaient utilisé sporadiquement le milieu de la parcelle no 121, ils n'auraient jamais utilisé la prétendue servitude pour le motif qu'elle serait impraticable et demanderait des aménagements importants. Les recourants ne démontrent cependant pas en quoi cet élément de fait aurait une influence quelconque sur le sort de l'action, de sorte qu'il n'y a pas lieu d'entrer en matière sur cette critique (consid. 2.2 supra).</w:t>
      </w:r>
    </w:p>
    <w:p>
      <w:r>
        <w:rPr>
          <w:b/>
        </w:rPr>
        <w:t>E. 4.1.2</w:t>
      </w:r>
    </w:p>
    <w:p>
      <w:r>
        <w:t>Les recourants reprochent aussi à la cour cantonale d'avoir violé l' art. 975 CC . Leurs critiques se fondent toutefois sur des faits qui ne sont pas ceux retenus et dont ils ne sont pas parvenus à démontrer qu'ils auraient été arbitrairement établis par la juridiction cantonale: il en est ainsi lorsqu'ils prétendent que le plan du 7 novembre 1986 correspondrait exactement à la volonté des parties ou lorsqu'ils soutiennent que les intimés n'auraient jamais utilisé le droit de passage tel que mentionné dans le plan du 17 octobre 1986. En affirmant enfin de façon péremptoire que seule l'inscription au Registre foncier ferait foi et non pas la "pseudo-volonté" des parties, ils ignorent la portée du principe de causalité tiré de l' art. 974 al. 2 CC (cf. supra 3.2), lequel permet précisément d'ouvrir action en rectification du Registre foncier lorsqu'une réquisition d'inscription est entachée d'une erreur.</w:t>
      </w:r>
    </w:p>
    <w:p>
      <w:r>
        <w:rPr>
          <w:b/>
        </w:rPr>
        <w:t>E. 4.2</w:t>
      </w:r>
    </w:p>
    <w:p>
      <w:r>
        <w:t>Dans un second temps, la cour cantonale a examiné si les recourants pouvaient être admis à exciper de leur bonne foi ( art. 973 CC ), voire de celle des époux E.________, circonstance permettant de rejeter l'action en rectification du Registre foncier.</w:t>
      </w:r>
    </w:p>
    <w:p>
      <w:r>
        <w:t>Les juges cantonaux ont alors observé que, peu avant d'acquérir la parcelle no 121, les recourants avaient eu une discussion avec les intimés au sujet de l'assiette de la servitude de passage pour véhicules et, qu'à cette occasion, les intimés avaient montré à leurs futurs voisins les documents en leur possession. Il apparaissait dès lors exclu que les intimés n'eussent pas fait état du plan du 17 octobre 1986 et de ses divergences avec celui déposé au Registre foncier. Le tribunal cantonal a par ailleurs noté que l'assiette de la servitude de passage telle que dessinée sur le plan du 7 novembre 1986 ne correspondait à aucun besoin et que l'assiette de la servitude était visible sur le terrain, les intimés ayant aménagé un accès en empierrant le tracé. Au vu de ces circonstances douteuses, les recourants ne pouvaient se contenter de se fier au plan déposé au Registre foncier et ne pouvaient en conséquence invoquer leur bonne foi. L'instance précédente a également jugé que les recourants ne pouvaient non plus se prévaloir de la bonne foi des époux E.________, dans la mesure où, lorsque ceux-ci avaient acheté la parcelle no 121, ils avaient été informés de l'existence d'une servitude permettant aux propriétaires de la parcelle no 121a d'accéder en voiture jusqu'à leur chalet.</w:t>
      </w:r>
    </w:p>
    <w:p>
      <w:r>
        <w:rPr>
          <w:b/>
        </w:rPr>
        <w:t>E. 4.2.1</w:t>
      </w:r>
    </w:p>
    <w:p>
      <w:r>
        <w:t>Les recourants prétendent au contraire qu'ils seraient de bonne foi et qu'ils devraient en conséquence être mis au bénéfice de l' art. 973 CC , réaffirmant que les intimés ne traverseraient la parcelle no 121 que depuis quelque temps seulement et soutenant que les époux E.________ leur auraient garanti qu'il n'existait aucun droit de passage à l'exception de ceux mentionnés au Registre foncier selon le plan du 7 novembre 1986. A nouveau, les recourants ne contestent nullement l'appréciation cantonale constatant leur absence de bonne foi et n'en démontrent par conséquent aucunement l'arbitraire. Leurs critiques sont donc irrecevables.</w:t>
      </w:r>
    </w:p>
    <w:p>
      <w:r>
        <w:rPr>
          <w:b/>
        </w:rPr>
        <w:t>E. 4.2.2</w:t>
      </w:r>
    </w:p>
    <w:p>
      <w:r>
        <w:t>En conclusion, il résulte de l'appréciation des preuves que la réquisition d'inscription était indue dès lors qu'elle ne correspondait pas à la volonté réelle des parties, soit plus précisément au titre d'acquisition et au plan signé par les parties au contrat constitutif de servitudes. Les recourants ne pouvant en outre se prévaloir de leur bonne foi, c'est donc à bon droit que la cour cantonale a admis l'action en rectification du Registre foncier et déclaré que le plan du 17 octobre 1986 devait être conservé à titre de pièce justificative.</w:t>
      </w:r>
    </w:p>
    <w:p>
      <w:r>
        <w:rPr>
          <w:b/>
        </w:rPr>
        <w:t>E. 5</w:t>
      </w:r>
    </w:p>
    <w:p>
      <w:r>
        <w:t>Le recours constitutionnel subsidiaire est irrecevable; le recours en matière civile est rejeté, dans la mesure de sa recevabilité. Les frais judiciaires sont mis à la charge des recourants qui succombent ( art. 66 al. 1 LTF ). Aucune indemnité de dépens n'est octroyée aux intimés qui ne se sont pas déterminés.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