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5A_844/2015 vom 11. November 2015</w:t>
      </w:r>
    </w:p>
    <w:p>
      <w:r>
        <w:t>Bundesgericht, 2015-11-11, DE</w:t>
      </w:r>
    </w:p>
    <w:p>
      <w:r>
        <w:rPr>
          <w:b/>
        </w:rPr>
        <w:t xml:space="preserve">Quelle: </w:t>
      </w:r>
      <w:r>
        <w:t>https://mcp.opencaselaw.ch/entscheid/bger_5A_844_2015</w:t>
      </w:r>
    </w:p>
    <w:p>
      <w:r>
        <w:t>FR: TF 5A_844/2015 du 11 novembre 2015</w:t>
      </w:r>
    </w:p>
    <w:p>
      <w:r>
        <w:t>IT: TF 5A_844/2015 del 11 novembre 2015</w:t>
      </w:r>
    </w:p>
    <w:p>
      <w:pPr>
        <w:pStyle w:val="Heading2"/>
      </w:pPr>
      <w:r>
        <w:t>Erwägungen</w:t>
      </w:r>
    </w:p>
    <w:p>
      <w:r>
        <w:rPr>
          <w:b/>
        </w:rPr>
        <w:t>E. 1</w:t>
      </w:r>
    </w:p>
    <w:p>
      <w:r>
        <w:t>Der Beschwerdeführer hat mit Eingabe vom 22. Oktober 2015 beim Bundesgericht eine Verfügung des Instruktionsrichters des Obergerichts des Kantons Bern vom 12. Oktober 2015 angefochten. In dieser Verfügung (Verfahren Nr. ZK 15 518 + 519 SCB) ist der Instruktionsrichter auf eine Beschwerde des Beschwerdeführers vom 8. Oktober 2015 gegen die Entscheide CIV 15 4780 und 15 4783 des Regionalgerichts Bern Mittelland vom 31. August 2015 nicht eingetreten.</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Der Instruktionsrichter hat erwogen, die Eingaben des Beschwerdeführers vom 8. Oktober 2015 enthielten einmal mehr bloss allgemeine, schwer verständliche und nicht auf die angefochtenen Entscheide bezogene Kritik; sie seien deshalb als querulatorisch und rechtsmissbräuchlich zu betrachten und würden daher in Anwendung von Art. 132 Abs. 3 ZPO ohne weitere Behandlung zurückgeschickt.</w:t>
      </w:r>
    </w:p>
    <w:p>
      <w:r>
        <w:rPr>
          <w:b/>
        </w:rPr>
        <w:t>E. 2.3</w:t>
      </w:r>
    </w:p>
    <w:p>
      <w:r>
        <w:t>Der Beschwerdeführer zeigt in seinen Ausführungen nicht anhand der Erwägungen des angefochtenen Entscheids auf, inwiefern die Vorinstanz Bundesrecht oder seine verfassungsmässigen Rechte verletzt haben soll. Seine Ausführungen beschränken sich auf eine Behauptung des Gegenteils, ohne aber zu erläutern, inwiefern die Vorinstanz den Sachverhalt willkürlich oder sonst wie gegen Bundesrecht verstossend festgestellt haben soll. Auf die offensichtlich nicht hinreichend begründete Beschwerde ist somit im vereinfachten Verfahren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