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5A_841/2019 vom 11. Dezember 2019</w:t>
      </w:r>
    </w:p>
    <w:p>
      <w:r>
        <w:t>Bundesgericht, 2019-12-11, IT</w:t>
      </w:r>
    </w:p>
    <w:p>
      <w:r>
        <w:rPr>
          <w:b/>
        </w:rPr>
        <w:t xml:space="preserve">Quelle: </w:t>
      </w:r>
      <w:r>
        <w:t>https://mcp.opencaselaw.ch/entscheid/bger_5A_841_2019</w:t>
      </w:r>
    </w:p>
    <w:p>
      <w:r>
        <w:t>FR: TF 5A_841/2019 du 11 décembre 2019</w:t>
      </w:r>
    </w:p>
    <w:p>
      <w:r>
        <w:t>IT: TF 5A_841/2019 del 11 dicembre 2019</w:t>
      </w:r>
    </w:p>
    <w:p>
      <w:pPr>
        <w:pStyle w:val="Heading2"/>
      </w:pPr>
      <w:r>
        <w:t>Erwägungen</w:t>
      </w:r>
    </w:p>
    <w:p>
      <w:r>
        <w:rPr>
          <w:b/>
        </w:rPr>
        <w:t>E. 1</w:t>
      </w:r>
    </w:p>
    <w:p>
      <w:r>
        <w:t>Mediante sentenza 18 settembre 2019 il Presidente della Camera di protezione del Tribunale d'appello del Cantone Ticino ha dichiarato irricevibile l'istanza di risarcimento danni presentata da A.A.________ e B.A.________ per i pregiudizi asseritamente subiti nelle procedure dinanzi all'Autorità regionale di protezione 4 sede di Paradiso, all'Autorità regionale di protezione 5 sede di Massagno, all'Autorità regionale di protezione 6 sede di Agno ed all'Autorità regionale di protezione 9 sede di Torricella-Taverne. Il Giudice cantonale, dopo aver scartato l'invito rivoltogli dai coniugi A.________ ad astenersi dalla causa, ha spiegato che la Camera di protezione non ha alcuna competenza per decidere in merito ad un'istanza di risarcimento danni.</w:t>
      </w:r>
    </w:p>
    <w:p>
      <w:r>
        <w:rPr>
          <w:b/>
        </w:rPr>
        <w:t>E. 2</w:t>
      </w:r>
    </w:p>
    <w:p>
      <w:r>
        <w:t>Con ricorso 21 ottobre 2019 A.A.________ e B.A.________ hanno impugnato la sentenza 18 settembre 2019 dinanzi al Tribunale federale. Mediante lettere 9 novembre 2019 e 6 dicembre 2019 i ricorrenti hanno nuovamente scritto al Tribunale federale. Essi hanno chiesto di richiamare l'incarto cantonale, di essere posti al beneficio dell'assistenza giudiziaria e di conoscere la composizione della Corte giudicante e l'ammontare delle spese giudiziarie in via anticipata. Essi hanno inoltre invitato i Giudici federali della II Corte di diritto civile Herrmann (Presidente), Escher e von Werdt nonché la Cancelliera Antonini ad astenersi dal giudizio per avere già partecipato a decisioni precedenti.</w:t>
      </w:r>
    </w:p>
    <w:p>
      <w:r>
        <w:t>Non sono state chieste determinazioni.</w:t>
      </w:r>
    </w:p>
    <w:p>
      <w:r>
        <w:rPr>
          <w:b/>
        </w:rPr>
        <w:t>E. 3</w:t>
      </w:r>
    </w:p>
    <w:p>
      <w:r>
        <w:t>Con lo scritto 21 ottobre 2019 A.A.________ e B.A.________ hanno impugnato anche due altre sentenze emanate il 18 settembre 2019 dal Presidente della Camera di protezione del Tribunale d'appello del Cantone Ticino. Tali impugnative sono state trattate separatamente (v. sentenze 5A_839/2019 e 5A_840/2019 pronunciate in data odierna).</w:t>
      </w:r>
    </w:p>
    <w:p>
      <w:r>
        <w:rPr>
          <w:b/>
        </w:rPr>
        <w:t>E. 4</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dall' art. 37 LTF (cfr. FLORENCE AUBRY GIRARDIN, in Commentaire de la LTF, 2a ed. 2014, n. 17 ad art. 36 LTF e n. 13 ad art. 37 LTF ). I Giudici federali Escher e von Werdt non sono invece, in ogni modo, chiamati a statuire sul rimedio all'esame.</w:t>
      </w:r>
    </w:p>
    <w:p>
      <w:r>
        <w:rPr>
          <w:b/>
        </w:rPr>
        <w:t>E. 5</w:t>
      </w:r>
    </w:p>
    <w:p>
      <w:r>
        <w:t>Il rimedio non è firmato in originale dai ricorrenti, in violazione delle esigenze poste dall' art. 42 cpv. 1 LTF . Non occorre tuttavia assegnare loro un termine per sanare il vizio constatato ( art. 42 cpv. 5 LTF ), dato che il gravame sfugge comunque ad un esame di merito.</w:t>
      </w:r>
    </w:p>
    <w:p>
      <w:r>
        <w:rPr>
          <w:b/>
        </w:rPr>
        <w:t>E. 6</w:t>
      </w:r>
    </w:p>
    <w:p>
      <w:r>
        <w:t>Dagli allegati prodotti dai ricorrenti emerge che con decisione cautelare 30 settembre/1° ottobre 2019 l'Autorità regionale di protezione 9 sede di Torricella-Taverne ha istituito in favore di A.A.________ una curatela di rappresentanza ex art. 394 CC e lo ha limitato nell'esercizio dei suoi diritti civili nel senso che "non potrà più esercitare i diritti civili negli ambiti giudiziari e amministrativi di qualsiasi natura e grado e davanti ad ogni autorità civile, amministrativa e penale e i suoi eventuali ulteriori atti saranno nulli e privi di effetto e soltanto il curatore potrà validamente rappresentarlo e obbligarlo in tali ambiti". Emerge anche che con decreto 6 novembre 2019 il Presidente della Camera di protezione del Tribunale d'appello del Cantone Ticino ha revocato in via supercautelare l'effetto sospensivo al reclamo interposto dall'interessato avverso tale decisione cautelare ( art. 450c CC ).</w:t>
      </w:r>
    </w:p>
    <w:p>
      <w:r>
        <w:t>Si pone pertanto la questione a sapere se, al momento dell'introduzione del ricorso qui all'esame, ossia il 21 ottobre 2019, A.A.________ avesse (ancora) la capacità processuale. La questione può tuttavia essere lasciata aperta, dato che il gravame si rivela in ogni modo inammissibile per i motivi esposti di seguito.</w:t>
      </w:r>
    </w:p>
    <w:p>
      <w:r>
        <w:rPr>
          <w:b/>
        </w:rPr>
        <w:t>E. 7.1</w:t>
      </w:r>
    </w:p>
    <w:p>
      <w:r>
        <w:t>Il ricorso va dichiarato di primo acchito irricevibile nella misura in cui non censura la sentenza dell'autorità cantonale (v. art. 75 cpv. 1 LTF ), bensì discute questioni del tutto estranee alla presente vertenza (come la richiesta di annullamento della predetta curatela, della nomina del curatore e della perizia alla base di tale misura).</w:t>
      </w:r>
    </w:p>
    <w:p>
      <w:r>
        <w:rPr>
          <w:b/>
        </w:rPr>
        <w:t>E. 7.2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prolisso e confuso rimedio all'esame, i ricorrenti si limitano a genericamente rimproverare all'autorità cantonale svariate inadeguatezze procedurali ed omettono di confrontarsi con l'argomentazione posta a fondamento dell'impugnata sentenza di irricevibilità. Il ricorso non soddisfa pertanto le esigenze di motivazione degli art. 42 cpv. 2 e 106 cpv. 2 LTF.</w:t>
      </w:r>
    </w:p>
    <w:p>
      <w:r>
        <w:rPr>
          <w:b/>
        </w:rPr>
        <w:t>E. 8</w:t>
      </w:r>
    </w:p>
    <w:p>
      <w:r>
        <w:t>Da quanto precede discende che il ricorso, manifestamente inammissibile e manifestamente non motivato in modo sufficiente, può essere evaso nella procedura semplificata dell' art. 108 cpv. 1 lett. a-b LTF . La richiesta di richiamare l'incarto cantonale diviene quindi priva di oggetto.</w:t>
      </w:r>
    </w:p>
    <w:p>
      <w:r>
        <w:t>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w:t>
      </w:r>
    </w:p>
    <w:p>
      <w:r>
        <w:t>La richiesta di conoscere preventivamente l'ammontare delle spese giudiziarie è pretestuosa. Dati i numerosi ricorsi e le numerose domande di revisione introdotti dai ricorrenti dinanzi al Tribunale federale, essi ormai conoscono l'importo presumibile delle spese giudiziarie generate dai loro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