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5A_840/2010 vom 31. Mai 2011</w:t>
      </w:r>
    </w:p>
    <w:p>
      <w:r>
        <w:t>Bundesgericht, 2011-05-31, FR</w:t>
      </w:r>
    </w:p>
    <w:p>
      <w:r>
        <w:rPr>
          <w:b/>
        </w:rPr>
        <w:t xml:space="preserve">Quelle: </w:t>
      </w:r>
      <w:r>
        <w:t>https://mcp.opencaselaw.ch/entscheid/bger_5A_840_2010</w:t>
      </w:r>
    </w:p>
    <w:p>
      <w:r>
        <w:t>FR: TF 5A_840/2010 du 31 mai 2011</w:t>
      </w:r>
    </w:p>
    <w:p>
      <w:r>
        <w:t>IT: TF 5A_840/2010 del 31 maggio 2011</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de Genève ( art. 75 LTF ), dans une affaire civile non pécuniaire ( art. 72 al. 1 LTF ). Le recourant a par ailleurs pris part à la procédure devant l'autorité précédente et démontre un intérêt juridique à la modification de la décision attaquée (art. 76 al. 1 aLTF), de sorte que la voie du recours en matière civile est ouverte.</w:t>
      </w:r>
    </w:p>
    <w:p>
      <w:r>
        <w:rPr>
          <w:b/>
        </w:rPr>
        <w:t>E. 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le Tribunal fédéral n'examine en effet la violation de l'interdiction de l'arbitraire que si un tel grief a été expressément soulevé et exposé de façon claire et détaillée par le recourant (principe d'allégation; art. 106 al. 2 LTF ; ATF 133 IV 286 consid. 1.4).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 Les critiques de nature appellatoire sont irrecevables (cf. ATF 133 III 585 consid. 4.1; 130 I 258 consid. 1.3 et les arrêts cités).</w:t>
      </w:r>
    </w:p>
    <w:p>
      <w:r>
        <w:rPr>
          <w:b/>
        </w:rPr>
        <w:t>E. 3</w:t>
      </w:r>
    </w:p>
    <w:p>
      <w:r>
        <w:t>Dans un premier grief, le recourant reproche à la cour cantonale d'avoir ordonné l'instauration d'une curatelle d'assistance éducative en faveur de C.________, se plaignant à cet égard d'une appréciation arbitraire des faits et de la violation de l' art. 308 CC .</w:t>
      </w:r>
    </w:p>
    <w:p>
      <w:r>
        <w:rPr>
          <w:b/>
        </w:rPr>
        <w:t>E. 3.1.1</w:t>
      </w:r>
    </w:p>
    <w:p>
      <w:r>
        <w:t>La curatelle d'assistance éducative, prévue par l' art. 308 al. 1 CC , constitue une mesure de protection de l'enfant ( art. 307 ss CC ) qui permet à l'autorité tutélaire, lorsque les circonstances l'exigent, de nommer à l'enfant un curateur qui assiste les père et mère de ses conseils et de son appui dans le soin de l'enfant. La curatelle éducative au sens de l' art. 308 CC va plus loin que la simple surveillance d'éducation au sens de l' art. 307 al. 3 CC , en ce sens que le curateur ne se borne pas à exercer une surveillance, mais intervient lui-même activement ( ATF 108 II 372 consid. 1; arrêt 5C.109/2002 du 11 juin 2002 consid. 2.1 publié in FamPra.ch 2002). L'institution d'une telle curatelle suppose d'abord, comme pour toute mesure protectrice (cf. art. 307 al. 1 CC ), que le développement de l'enfant soit menacé ( ATF 108 II 372 consid. 1; arrêt 5C.109/2002 du 11 juin 2002 consid. 2.1 publié in FamPra.ch 2002), que ce danger ne puisse être prévenu par les père et mère eux-mêmes (cf. art. 307 al. 1 CC ), ni par les mesures plus limitées de l' art. 307 CC (principe de subsidiarité; arrêt 5C.109/2002 du 11 juin 2002 consid. 2.1 publié in FamPra.ch 2002 p. 851; cf. ATF 114 II 213 consid. 5; 108 II 92 consid. 4), et que l'intervention active d'un conseiller apparaisse appropriée pour atteindre ce but (principe de l'adéquation; arrêt 5C.109/2002 du 11 juin 2002 consid. 2.1 publié in FamPra.ch 2002 p. 851 et les références doctrinales citées).</w:t>
      </w:r>
    </w:p>
    <w:p>
      <w:r>
        <w:rPr>
          <w:b/>
        </w:rPr>
        <w:t>E. 3.1.2</w:t>
      </w:r>
    </w:p>
    <w:p>
      <w:r>
        <w:t>Le principe de la proportionnalité est la pierre angulaire du système de protection civile de l'enfant, la mesure ordonnée devant notamment être apte à atteindre le but de protection visé et nécessaire à cette fin (principe de la proportionnalité au sens étroit; PHILIPPE MEIER, in: Commentaire romand, Code civil I, 2010, n. 33 ad Intro. art. 307 à 315b CC). L'autorité qui ordonne une mesure de protection de l'enfant dispose à cet égard d'un large pouvoir d'appréciation ( art. 4 CC ; arrêt 5A_656/2010 du 13 janvier 2011 consid. 3). Le choix de la mesure nécessite en effet une part importante d'anticipation et de pronostic quant à l'évolution des circonstances déterminantes ( ATF 120 II 384 consid. 4d); il dépendra de toutes les circonstances concrètes du cas, non seulement sous l'angle juridique, mais aussi en fonction des aspects sociaux, médicaux et éducatifs de la situation et de la constellation familiale (MEIER, op. cit., n. 34 ad Intro. art. 307 à 315b CC; cf. PETER BREITSCHMID, in: Basler Kommentar, ZGB I, 4e éd. 2010, n. 3 ad art. 307 CC ). Le Tribunal fédéral s'impose dès lors une certaine retenue en la matière: iI n'intervient que si l'autorité cantonale a pris en considération des éléments qui ne jouent aucun rôle au sens de la loi ou a omis de tenir compte de facteurs essentiels ( ATF 132 III 178 consid. 5.1 p. 183; 130 III 571 consid. 4.3 p. 576; 127 III 136 consid. 3a p. 141).</w:t>
      </w:r>
    </w:p>
    <w:p>
      <w:r>
        <w:rPr>
          <w:b/>
        </w:rPr>
        <w:t>E. 3.2</w:t>
      </w:r>
    </w:p>
    <w:p>
      <w:r>
        <w:t>Le Tribunal de première instance a refusé la mise sur pied d'une curatelle d'assistance éducative, jugeant que non seulement les conclusions de la mère à cet égard n'étaient pas suffisamment motivées, mais qu'elles étaient en outre infondées au regard du rapport d'évaluation sociale établi par le Service de protection des mineurs (SPMi).</w:t>
      </w:r>
    </w:p>
    <w:p>
      <w:r>
        <w:t>La Cour de justice a en revanche considéré que cette mesure devait être ordonnée. A l'appui de cette décision, elle a d'abord rappelé que le recourant y avait acquiescé en comparution personnelle avant de conclure à la confirmation du premier jugement et donc à son refus. L'autorité cantonale a ensuite souligné que le changement de lieu de vie d'un parent à l'autre était déstabilisant pour un enfant, son handicap étant de plus susceptible d'accroître ses difficultés d'adaptation. Elle a également retenu les craintes exposées par la mère quant au risque que l'enfant ne devienne "déstructuré" en passant d'un mode de vie organisé, assuré par elle-même, à un style d'organisation beaucoup plus souple, celui du père: le bien-être de C.________ pourrait ainsi être affecté par la disparition d'un cadre rigide au niveau des horaires, susceptible d'être rassurant pour lui. Les juges cantonaux ont enfin noté que la prise en charge ponctuelle que le père assurait jusqu'alors ne préjugeait pas d'un encadrement quotidien adéquat, beaucoup plus astreignant, susceptible de l'éprouver et l'exposant au risque de ne plus être en mesure de prodiguer un encadrement de qualité à son fils.</w:t>
      </w:r>
    </w:p>
    <w:p>
      <w:r>
        <w:rPr>
          <w:b/>
        </w:rPr>
        <w:t>E. 3.3</w:t>
      </w:r>
    </w:p>
    <w:p>
      <w:r>
        <w:t>Contrairement à ce que prétend le recourant, la Cour de justice n'a pas méconnu que le rapport du SPMi ne préconisait pas l'instauration d'une curatelle éducative: elle a toutefois relevé que le recourant y avait lui-même été favorable. Afin de contester l'instauration de la curatelle d'assistance éducative, le recourant présente, pour l'essentiel, sa propre version des faits, sans démontrer l'arbitraire de celle retenue par la cour cantonale pour ordonner la mesure litigieuse. Ainsi, il ne conteste pas que le changement de lieu de vie pourrait être déstabilisant pour son enfant, ni que son ex-épouse offrait un cadre de vie plus rigide, susceptible d'être davantage rassurant pour C.________. Invoquer que cette dernière affirmation serait sans valeur car émise par son ex-épouse, avec laquelle il entretenait des rapports particulièrement tendus est à cet égard insuffisant. Le recourant ne critique pas non plus le fait que la prise en charge quotidienne d'un enfant autiste constitue une charge particulièrement lourde, distincte de l'encadrement ponctuel pratiqué avant qu'il n'obtienne la garde de C.________. Se contenter d'affirmer être parfaitement en mesure de s'occuper de celui-ci, en citant les déclarations de différents professionnels - émises alors qu'il n'avait pas la charge de C.________ à temps plein - ainsi qu'en invoquant le soutien de la fondation "Insieme", ne permet pas de retenir l'arbitraire de cette dernière considération cantonale (cf. consid. 2 supra).</w:t>
      </w:r>
    </w:p>
    <w:p>
      <w:r>
        <w:t>Pour fonder ensuite la violation de l' art. 308 CC , le recourant se limite à prétendre que l'appréciation arbitraire des faits par l'autorité cantonale entraînerait la violation de cette dernière disposition. Ayant précisément échoué à démontrer l'arbitraire des éléments de fait sur lesquels la cour cantonale s'était fondée pour ordonner la mesure contestée, il ne peut parvenir, par cette motivation, à établir la violation invoquée. Pour ce faire, il aurait convenu qu'il soutienne que les conditions permettant de l'instaurer n'étaient pas remplies, ou démontre l'abus de pouvoir d'appréciation dont l'autorité cantonale aurait fait preuve à ce propos.</w:t>
      </w:r>
    </w:p>
    <w:p>
      <w:r>
        <w:rPr>
          <w:b/>
        </w:rPr>
        <w:t>E. 4</w:t>
      </w:r>
    </w:p>
    <w:p>
      <w:r>
        <w:t>Dans un second grief, le recourant s'en prend non seulement au montant du revenu que lui a imputé la cour cantonale, mais également à celui de ses charges, estimant celles-ci plus élevées que ne l'a retenu cette dernière juridiction. Il invoque l'appréciation arbitraire des faits ainsi que la violation de l' art. 285 CC .</w:t>
      </w:r>
    </w:p>
    <w:p>
      <w:r>
        <w:rPr>
          <w:b/>
        </w:rPr>
        <w:t>E. 4.1.1</w:t>
      </w:r>
    </w:p>
    <w:p>
      <w:r>
        <w:t>Lorsque le juge procède à la détermination du revenu d'une personne en appréciant les indices concrets à sa disposition, il détermine son revenu effectif ou réel; il s'agit d'une question de fait. En revanche, lorsque le juge examine quelle activité ou quelle augmentation de son activité on pourrait raisonnablement exiger d'une personne et quel revenu il lui serait possible de réaliser, le juge fixe son revenu hypothétique: savoir si l'on peut raisonnablement exiger du débiteur l'exercice d'une activité ou une augmentation de celle-ci, eu égard notamment à sa formation, à son âge et à son état de santé, est une question de droit; déterminer quel revenu cette personne a la possibilité effective de réaliser, compte tenu du marché du travail, est cependant une question de fait ( ATF 128 III 4 consid. 4).</w:t>
      </w:r>
    </w:p>
    <w:p>
      <w:r>
        <w:rPr>
          <w:b/>
        </w:rPr>
        <w:t>E. 4.1.2</w:t>
      </w:r>
    </w:p>
    <w:p>
      <w:r>
        <w:t>Pour l'essentiel, l'argumentation de la cour cantonale se fonde sur le changement de statut du recourant au sein de la société Y.________ Sàrl. Alors que, lorsqu'il exerçait son activité à titre individuel, il percevait un revenu mensuel net de l'ordre de 5'400 fr. - au demeurant sous-évalué selon la juridiction cantonale -, il recevait, en tant qu'employé, une rémunération nette de 2'831 fr. 40. Or, ce statut de salarié paraissait purement formel, différents indices démontrant que le recourant était en réalité demeuré le seul exploitant et responsable de la Sàrl Y.________. Il s'ensuivait que son revenu ne se limitait pas à son salaire, mais qu'il participait nécessairement aux bénéfices. Examinant le compte postal privé du recourant, la Cour de justice a également observé que celui-ci disposait d'un solde positif moyen situé entre 2'435 fr. et 3'000 fr. par mois entre juillet 2008 et février 2010, après règlement de ses charges courantes d'entretien. Le compte ne faisant état d'aucun retrait privé d'espèces, il fallait en conclure que le recourant devait nécessairement disposer d'une autre source de revenus pour toutes ses dépenses réglées au comptant. La Cour de justice a par ailleurs estimé qu'elle n'était pas liée par le jugement du Tribunal de police, rendu le 9 novembre 2009 sur plainte du Service cantonal d'avance et recouvrement des pensions alimentaires (SCARPA). Cette juridiction, qui fixait à 3'300 fr. bruts le revenu du recourant, s'était en effet limitée à consulter les documents fournis par celui-ci, sans s'interroger sur la réalité du changement de son statut.</w:t>
      </w:r>
    </w:p>
    <w:p>
      <w:r>
        <w:t>La Cour de justice a par ailleurs remarqué que la prétendue rémunération de 2'831 fr. 40 par mois ne correspondait pas à un temps partiel de 70% ou 34 heures hebdomadaires dans la mesure où le magasin n'était ouvert qu'entre 14 à 20 heures par semaine. L'autorité cantonale a alors opposé au recourant qu'il pourrait ouvrir son magasin tous les jours, à l'exception du mercredi, étant ainsi en mesure d'augmenter sa capacité contributive à près de 5'200 fr. nets par mois (2'841 fr. 40 / 68 heures [14h + 20h. + 14h. + 20h.] = 41 fr. 78 par heure; en y ajoutant 2 jours de 7 heures par semaine: 56 heures x 41 fr. 78 = 2'340 fr.; 2'841 fr. 40 + 2'340 fr. = 5'171 fr.). La présence de son employé lui accordait en outre suffisamment de souplesse pour s'adapter à l'emploi du temps de C.________.</w:t>
      </w:r>
    </w:p>
    <w:p>
      <w:r>
        <w:t>S'en tenant aux conclusions de l'ex-épouse, la Cour de justice a cependant maintenu le revenu qui avait été imputé au recourant dans le cadre des mesures protectrices de l'union conjugale, à savoir 4'800 fr. nets.</w:t>
      </w:r>
    </w:p>
    <w:p>
      <w:r>
        <w:rPr>
          <w:b/>
        </w:rPr>
        <w:t>E. 4.1.3</w:t>
      </w:r>
    </w:p>
    <w:p>
      <w:r>
        <w:t>La question de savoir si la cour cantonale a procédé à une estimation du revenu effectif du recourant ou si elle lui a plutôt imputé un revenu hypothétique peut être laissée ouverte dans la mesure où l'essentiel des critiques du recourant se limite à reprocher à la juridiction d'avoir arbitrairement apprécié les faits.</w:t>
      </w:r>
    </w:p>
    <w:p>
      <w:r>
        <w:t>Il convient avant tout de relever que le recourant ne conteste pas directement que son statut d'employé serait purement formel et qu'il serait en réalité demeuré le seul exploitant et responsable de la Sàrl Y.________. Il se limite à cet égard à critiquer l'appréciation comptable à laquelle l'autorité cantonale a procédé. Celle-ci se serait d'abord manifestement trompée sur le sens et la portée des comptes afférents aux années 2002 à 2005, le recourant se contentant de prétendre, sans plus de motivation, qu'un simple calcul suffisait à déterminer un revenu moyen de 3'948. fr. 75 par mois au lieu de la somme de 5'400 fr. retenue par la juridiction cantonale. La Cour de justice aurait ensuite exclu les bilans et avis de taxation de la société de 2006 à 2008, alors qu'à cette période, la situation familiale du recourant était bouleversée "ce qui avait inévitablement impacté sa capacité contributive"; à la lecture de ces pièces comptables, la cour cantonale aurait par ailleurs pu constater que le recourant percevait bien le salaire allégué. Pour autant qu'on les comprenne, ses critiques ne permettent nullement de démontrer la prétendue erreur d'appréciation comptable de la cour cantonale.</w:t>
      </w:r>
    </w:p>
    <w:p>
      <w:r>
        <w:t>Concernant ses relevés bancaires, le recourant se contente de remarquer que les relevés examinés font état de soldes positifs supérieurs à 2'000 fr. dans la mesure où son salaire venait d'être crédité sur son compte postal; il affirme également effectuer tous ses achats courants par carte bancaire, ce qui expliquerait l'absence de retraits en espèces. Ses critiques ne remettent nullement en cause la motivation cantonale. Appellatoires, elles sont irrecevables.</w:t>
      </w:r>
    </w:p>
    <w:p>
      <w:r>
        <w:t>A propos enfin d'un élargissement des horaires d'ouverture de son magasin, le recourant prétend que c'est arbitrairement que la juridiction cantonale avait retenu une limitation de son temps de travail aux heures d'ouverture actuelles du magasin, à savoir entre 14 et 20 heures par semaine. Ce faisant, elle occultait le temps absolument indispensable aux tâches dites administratives et de gestion pure de la société, lesquelles augmentaient nécessairement son taux d'occupation à 34 heures hebdomadaires, à savoir un taux d'activité de 70%. Le recourant ne peut toutefois se contenter d'affirmer que l'administration de la société l'occuperait entre 20 et 14 heures par semaine sans prendre la peine de l'étayer; il occulte au demeurant le fait que la société dispose d'un employé travaillant à 30%, ce qui lui permettrait parfaitement de gérer les tâches administratives en déléguant la tenue du magasin à ce dernier.</w:t>
      </w:r>
    </w:p>
    <w:p>
      <w:r>
        <w:rPr>
          <w:b/>
        </w:rPr>
        <w:t>E. 4.1.4</w:t>
      </w:r>
    </w:p>
    <w:p>
      <w:r>
        <w:t>Les critiques du recourant relatives à la violation de l' art. 285 CC sont sans objet dans la mesure où son argumentation consiste à affirmer avoir fourni l'intégralité des documents permettant d'établir sa situation financière, à savoir un revenu effectif net de 2'831 fr. 40. Le sort de cette critique est en effet scellé par le considérant précédent.</w:t>
      </w:r>
    </w:p>
    <w:p>
      <w:r>
        <w:rPr>
          <w:b/>
        </w:rPr>
        <w:t>E. 4.2</w:t>
      </w:r>
    </w:p>
    <w:p>
      <w:r>
        <w:t>S'agissant de ses charges, le recourant reproche à l'autorité cantonale de les avoir chiffrées à 2'670 fr. L'autorité cantonale aurait toutefois omis de prendre en considération le fait qu'il avait désormais la garde de C.________ et n'aurait ainsi pas retenu le montant de 400 fr. correspondant, selon les normes d'insaisissabilité, à l'entretien de base d'un enfant de moins de dix ans, ni les charges liées à l'assurance-maladie de l'enfant, à savoir une somme mensuelle de 37 fr. Ses charges ainsi modifiées s'élèveraient à 3'107 fr. (1'350 [entretien de base du recourant] + 400 fr. [entretien de base de C.________] + 1'250 fr. [loyer] + 70 fr. [transports publics] + 37 fr. [assurance-maladie de C.________]).</w:t>
      </w:r>
    </w:p>
    <w:p>
      <w:r>
        <w:t>Cette critique est justifiée, le recourant devant en effet bénéficier des frais minimums liés à l'enfant dont il a la garde. Néanmoins, en procédant à la correction du montant de ses charges, son solde disponible se chiffre à 1'693 fr. (4'800 fr. - 3'107 fr. [charges alléguées par le recourant]), montant lui permettant de s'acquitter du montant des contributions d'entretien pour B.________ et D.________ fixé par la Cour de justice à 650 fr. par mois et par enfant âgé de 6 à 12 ans, puis à 750 dès 12 ans.</w:t>
      </w:r>
    </w:p>
    <w:p>
      <w:r>
        <w:rPr>
          <w:b/>
        </w:rPr>
        <w:t>E. 4.3</w:t>
      </w:r>
    </w:p>
    <w:p>
      <w:r>
        <w:t>Concluant à être libéré du paiement de toute contribution d'entretien, le recourant ne s'en prend pas, par une motivation suffisante, au dispositif du jugement cantonal ordonnant à ses débiteurs d'opérer tout ou partie de leurs paiements en mains de son ex-épouse. Cette question n'a donc pas à être examinée, bien que le recourant sollicite l'annulation de ce point particulier du dispositif du jugement attaqué.</w:t>
      </w:r>
    </w:p>
    <w:p>
      <w:r>
        <w:rPr>
          <w:b/>
        </w:rPr>
        <w:t>E. 5</w:t>
      </w:r>
    </w:p>
    <w:p>
      <w:r>
        <w:t>En définitive, le recours doit être rejeté, dans la mesure de sa recevabilité. Les conclusions de l'intéressé étant dépourvues de toutes chances de succès, sa requête d'assistance judiciaire doit être rejetée ( art. 64 al. 1 LTF ) et les frais judiciaires mis à sa charge ( art. 66 al. 1 LTF ). L'intimée n'a droit à aucune indemnité de dépens, étant précisé qu'elle n'a été invitée à se déterminer ni sur la requête d'effet suspensif, ni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