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83/2018 vom 5. Februar 2018</w:t>
      </w:r>
    </w:p>
    <w:p>
      <w:r>
        <w:t>Bundesgericht, 2018-02-05, DE</w:t>
      </w:r>
    </w:p>
    <w:p>
      <w:r>
        <w:rPr>
          <w:b/>
        </w:rPr>
        <w:t xml:space="preserve">Quelle: </w:t>
      </w:r>
      <w:r>
        <w:t>https://mcp.opencaselaw.ch/entscheid/bger_5A_83_2018</w:t>
      </w:r>
    </w:p>
    <w:p>
      <w:r>
        <w:t>FR: TF 5A 83/2018 du 5 février 2018</w:t>
      </w:r>
    </w:p>
    <w:p>
      <w:r>
        <w:t>IT: TF 5A 83/2018 del 5 febbraio 2018</w:t>
      </w:r>
    </w:p>
    <w:p>
      <w:pPr>
        <w:pStyle w:val="Heading2"/>
      </w:pPr>
      <w:r>
        <w:t>Regeste</w:t>
      </w:r>
    </w:p>
    <w:p>
      <w:r>
        <w:t>Umplatzierung der Tochter, Ablehnung der Wiederherstellung des Aufenthaltsbestimmungsrechts, Erstellung eines Gutachtens, Wechsel der Beistandsperson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Sind diese Voraussetzungen - wie vorliegend - nicht erfüllt, kann auf die Beschwerde nicht eingetreten werden.</w:t>
      </w:r>
    </w:p>
    <w:p>
      <w:r>
        <w:rPr>
          <w:b/>
        </w:rPr>
        <w:t>E. 2</w:t>
      </w:r>
    </w:p>
    <w:p>
      <w:r>
        <w:t>Die Beschwerdeführerin ersucht um eine grosszügige Nachfrist zur Stellung von Begehren und zur Einreichung einer Begründung. Indes handelt es sich bei der 30-tägigen Beschwerdefrist von Art. 100 Abs. 1 BGG um eine gesetzliche Frist, welche nicht verlängert werden kann (vgl. Art. 47 Abs. 1 BGG ). Indem die Eingabe erst am 29. Januar 2018 der Post übergeben wurde und am Folgetag beim Bundesgericht einging, verblieb auch keine Möglichkeit, in sinngemässer Anwendung von Art. 42 Abs. 5 BGG die Beschwerdeführerin darauf aufmerksam zu machen und sie zur rechtzeitigen Einreichung einer mit Rechtsbegehren und gehöriger Begründung versehenen Eingabe anzuhalten.</w:t>
      </w:r>
    </w:p>
    <w:p>
      <w:r>
        <w:rPr>
          <w:b/>
        </w:rPr>
        <w:t>E. 3</w:t>
      </w:r>
    </w:p>
    <w:p>
      <w:r>
        <w:t>Nach dem Gesagten ist auf die Beschwerde mit Präsidialentscheid im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