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5A_836/2022 vom 3. November 2022</w:t>
      </w:r>
    </w:p>
    <w:p>
      <w:r>
        <w:t>Bundesgericht, 2022-11-03, DE</w:t>
      </w:r>
    </w:p>
    <w:p>
      <w:r>
        <w:rPr>
          <w:b/>
        </w:rPr>
        <w:t xml:space="preserve">Quelle: </w:t>
      </w:r>
      <w:r>
        <w:t>https://mcp.opencaselaw.ch/entscheid/bger_5A_836_2022</w:t>
      </w:r>
    </w:p>
    <w:p>
      <w:r>
        <w:t>FR: TF 5A_836/2022 du 3 novembre 2022</w:t>
      </w:r>
    </w:p>
    <w:p>
      <w:r>
        <w:t>IT: TF 5A_836/2022 del 3 novembre 2022</w:t>
      </w:r>
    </w:p>
    <w:p>
      <w:pPr>
        <w:pStyle w:val="Heading2"/>
      </w:pPr>
      <w:r>
        <w:t>Erwägungen</w:t>
      </w:r>
    </w:p>
    <w:p>
      <w:r>
        <w:rPr>
          <w:b/>
        </w:rPr>
        <w:t>E. 1</w:t>
      </w:r>
    </w:p>
    <w:p>
      <w:r>
        <w:t>Soweit Schadenersatz und Genugtuung verlangt wird, steht dies ausserhalb des möglichen Anfechtungsgegenstandes (fürsorgerische Unterbringung). Im Übrigen kann von einem sinngemässen Begehren im Sinn von Art. 42 Abs. 1 BGG um Aufhebung der fürsorgerischen Unterbringung ausgegangen werden.</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t>Im angefochtenen Entscheid wird der Schwächezustand sowie das selbstgefährdende Verhalten, die Erforderlichkeit der Unterbringung und die Eignung der Klinik unter Bezugnahme auf das erstellte Gutachten ausführlich behandelt. Damit setzt sich der Beschwerdeführer nicht auseinander. Er beschränkt sich (nebst Bemerkungen bzw. dem Anbringen von Fragen direkt auf dem angefochtenen Entscheid) in seiner Beschwerde darauf, in abstrakter Weise geltend zu machen, er werde gefangengehalten und es werde mit seiner Gesundheit gespielt. Es ist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