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5A_836/2019 vom 20. April 2020</w:t>
      </w:r>
    </w:p>
    <w:p>
      <w:r>
        <w:t>Bundesgericht, 2020-04-20, FR</w:t>
      </w:r>
    </w:p>
    <w:p>
      <w:r>
        <w:rPr>
          <w:b/>
        </w:rPr>
        <w:t xml:space="preserve">Quelle: </w:t>
      </w:r>
      <w:r>
        <w:t>https://mcp.opencaselaw.ch/entscheid/bger_5A_836_2019</w:t>
      </w:r>
    </w:p>
    <w:p>
      <w:r>
        <w:t>FR: TF 5A_836/2019 du 20 avril 2020</w:t>
      </w:r>
    </w:p>
    <w:p>
      <w:r>
        <w:t>IT: TF 5A_836/2019 del 20 aprile 2020</w:t>
      </w:r>
    </w:p>
    <w:p>
      <w:pPr>
        <w:pStyle w:val="Heading2"/>
      </w:pPr>
      <w:r>
        <w:t>Erwägungen</w:t>
      </w:r>
    </w:p>
    <w:p>
      <w:r>
        <w:rPr>
          <w:b/>
        </w:rPr>
        <w:t>E. 1</w:t>
      </w:r>
    </w:p>
    <w:p>
      <w:r>
        <w:t>Le recours est dirigé à l'encontre d'une décision finale ( art. 90 LTF ) prise en dernière instance cantonale et sur recours par un tribunal supérieur ( art. 75 LTF ), dans une contestation civile ( art. 72 al. 1 LTF ) de nature pécuniaire dont la valeur litigieuse atteint 30'000 fr. ( art. 74 al. 1 let. b LTF ); il a par ailleurs été déposé à temps ( art. 100 al. 1 LTF ), par la partie qui a succombé dans ses conclusions devant l'instance précédente ( art. 76 al. 1 LTF ).</w:t>
      </w:r>
    </w:p>
    <w:p>
      <w:r>
        <w:rPr>
          <w:b/>
        </w:rPr>
        <w:t>E. 2.1</w:t>
      </w:r>
    </w:p>
    <w:p>
      <w:r>
        <w:t>Le recours en matière civile peut être formé pour violation du droit, tel qu'il est délimité par les art. 95 s. LTF. Le Tribunal fédéral applique le droit d'office ( art. 106 al. 1 LTF ) et ne connaît de la violation de droits fondamentaux qui si un tel grief a été expressément invoqué et motivé de façon claire et détaillée par le recourant (" principe d'allégation "; art. 106 al. 2 LTF ; ATF 143 II 283 consid. 1.2.2; 142 II 369 consid. 2.1).</w:t>
      </w:r>
    </w:p>
    <w:p>
      <w:r>
        <w:rPr>
          <w:b/>
        </w:rPr>
        <w:t>E. 2.2</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et les références; arrêt 5A_670/2018 du 4 octobre 2018 consid. 2.2).</w:t>
      </w:r>
    </w:p>
    <w:p>
      <w:r>
        <w:rPr>
          <w:b/>
        </w:rPr>
        <w:t>E. 2.3</w:t>
      </w:r>
    </w:p>
    <w:p>
      <w:r>
        <w:t>Le Tribunal fédéral statue sur la base des faits constatés dans la décision attaquée ( art. 105 al. 1 LTF ). Il ne peut s'en écarter que si les faits ont été constatés par l'autorité précédente de façon manifestement inexactes ou en violation du droit au sens de l' art. 95 LTF ( art. 105 al. 2 LTF ), et si la correction du vice est susceptible d'influencer le sort de la cause ( art. 97 al. 1 LTF ). Le recourant qui soutient que les faits ont été établis de manière manifestement inexacte, c'est-à-dire arbitraire au sens de l' art. 9 Cst. ( ATF 143 I 310 consid. 2.2 et la référence) doit satisfaire au principe d'allégation susmentionné (consid. 2.1 supra). Il ne peut ainsi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Seule la question de la répartition des charges de copropriété demeure encore litigieuse.</w:t>
      </w:r>
    </w:p>
    <w:p>
      <w:r>
        <w:rPr>
          <w:b/>
        </w:rPr>
        <w:t>E. 3.1</w:t>
      </w:r>
    </w:p>
    <w:p>
      <w:r>
        <w:t>Confirmant d'abord le caractère tardif de l'action en annulation déposée par la recourante et jugeant que le vice de convocation qu'elle invoquait ne pouvait conduire à l'annulation des décisions contestées, et, a fortiori, à leur nullité, la cour cantonale a jugé ensuite que les griefs que soulevait la recourante à l'encontre de la décision relative à la répartition des charges de copropriété n'étaient que de nature à retenir éventuellement l'annulation de la décision prise sur ce point; ils ne permettaient pas d'en établir la nullité, l'intéressée le reconnaissant d'ailleurs elle-même.</w:t>
      </w:r>
    </w:p>
    <w:p>
      <w:r>
        <w:rPr>
          <w:b/>
        </w:rPr>
        <w:t>E. 3.2</w:t>
      </w:r>
    </w:p>
    <w:p>
      <w:r>
        <w:t>Devant la Cour de céans, la recourante invoque la nullité de la décision refusant de l'exempter de certains postes de charges, faisant valoir la violation de l' art. 712h al. 3 CC ainsi que l'établissement arbitraire des faits dans la perspective de l'application de cette disposition. Force est toutefois de constater que cette problématique est formulée pour la première fois devant le Tribunal fédéral: dans ses écritures devant la dernière instance cantonale, la recourante a invoqué la nullité de l'assemblée générale ordinaire et des décisions qui y avaient été prises sous l'angle de la régularité de la convocation; subsidiairement, elle s'est limitée à réclamer l'annulation de la décision litigieuse, reconnaissant elle-même que sa nullité - pourtant examinée d'office et écartée par le premier juge - n'entrait pas en considération. Ces constatations factuelles ne font l'objet d'aucune contestation efficace de la recourante (supra consid. 2.2), qui se limite à affirmer avoir soulevé valablement le grief qu'elle développe dans son présent recours. Il s'agit donc de retenir que cette nouvelle argumentation ne satisfait pas à la règle de l'épuisement des griefs, la recourante ne pouvant de bonne foi la soulever après avoir constaté que ses critiques devant l'autorité cantonale n'avaient pas porté.</w:t>
      </w:r>
    </w:p>
    <w:p>
      <w:r>
        <w:rPr>
          <w:b/>
        </w:rPr>
        <w:t>E. 4</w:t>
      </w:r>
    </w:p>
    <w:p>
      <w:r>
        <w:t>Les considérations qui précèdent conduisent à l'irrecevabilité du recours, aux frais de la recourante ( art. 66 al. 1 LTF ). Une indemnité de dépens est allouée à l'intimée qui s'est déterminée avec succès sur la requête d'effet suspensif formée par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