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835/2011 vom 12. März 2012</w:t>
      </w:r>
    </w:p>
    <w:p>
      <w:r>
        <w:t>Bundesgericht, 2012-03-12, FR</w:t>
      </w:r>
    </w:p>
    <w:p>
      <w:r>
        <w:rPr>
          <w:b/>
        </w:rPr>
        <w:t xml:space="preserve">Quelle: </w:t>
      </w:r>
      <w:r>
        <w:t>https://mcp.opencaselaw.ch/entscheid/bger_5A_835_2011</w:t>
      </w:r>
    </w:p>
    <w:p>
      <w:r>
        <w:t>FR: TF 5A 835/2011 du 12 mars 2012</w:t>
      </w:r>
    </w:p>
    <w:p>
      <w:r>
        <w:t>IT: TF 5A 835/2011 del 12 marzo 2012</w:t>
      </w:r>
    </w:p>
    <w:p>
      <w:pPr>
        <w:pStyle w:val="Heading2"/>
      </w:pPr>
      <w:r>
        <w:t>Regeste</w:t>
      </w:r>
    </w:p>
    <w:p>
      <w:r>
        <w:t>contribution d'entretien (modification du jugement de divorce) | Droit de la famille</w:t>
      </w:r>
    </w:p>
    <w:p>
      <w:pPr>
        <w:pStyle w:val="Heading2"/>
      </w:pPr>
      <w:r>
        <w:t>Erwägungen</w:t>
      </w:r>
    </w:p>
    <w:p>
      <w:r>
        <w:rPr>
          <w:b/>
        </w:rPr>
        <w:t>E. 1</w:t>
      </w:r>
    </w:p>
    <w:p>
      <w:r>
        <w:t>Le recours a été interjeté dans le délai légal ( art. 100 al. 1 LTF ), contre une décision finale ( art. 90 LTF ), prise en dernière instance cantonale et sur recours par le tribunal supérieur du canton de Genève ( art. 75 al. 1 LTF ), dans une affaire civile qui a pour objet la modification du jugement de divorce en ce qui concerne la contribution à l'entretien de l'enfant par le parent non gardien ( art. 72 al. 1 LTF ) et dont la valeur litigieuse est supérieure à 30'000 fr. (art. 51 al. 1 let. a et 74 al. 1 let. b LTF). Le recourant a par ailleurs pris part à la procédure devant l'autorité précédente et démontre un intérêt digne de protection à la modification de la décision attaquée ( art. 76 al. 1 LTF ), de sorte que le recours en matière civile est en principe recevable.</w:t>
      </w:r>
    </w:p>
    <w:p>
      <w:r>
        <w:rPr>
          <w:b/>
        </w:rPr>
        <w:t>E. 2</w:t>
      </w:r>
    </w:p>
    <w:p>
      <w:r>
        <w:t>La cause présente un caractère d'extranéité compte tenu de la nationalité italienne du recourant et du transfert de la résidence habituelle de A.________ en France. Le Tribunal fédéral doit donc examiner la question du droit applicable ( ATF 136 III 142 consid. 3.2; 135 III 562 consid. 3.2; 131 III 153 consid. 3). En vertu de l'art. 4 al. 2 de la Convention de La Haye du 2 octobre 1973 sur la loi applicable aux obligations alimentaires (RS 0.211.213.01), par le renvoi de l' art. 83 al. 1 LDIP , le droit français est applicable en l'espèce, la dérogation de l'art. 8 de ladite convention ne s'appliquant qu'aux obligations alimentaires entre époux. Cela étant, les parties n'ont nullement remis en cause l'application du droit suisse ni n'ont prétendu que, selon le droit français, l'établissement des charges du débiteur en vue de la fixation de la contribution d'entretien, seul élément encore litigieux, s'apprécierait d'une manière différente qu'en droit suisse.</w:t>
      </w:r>
    </w:p>
    <w:p>
      <w:r>
        <w:rPr>
          <w:b/>
        </w:rPr>
        <w:t>E. 3.1</w:t>
      </w:r>
    </w:p>
    <w:p>
      <w:r>
        <w:t>Le Tribunal fédéral applique le droit d'office ( art. 106 al. 1 LTF ). Il ne connaît cependant de la violation des droits fondamentaux ou du droit cantonal que si ce grief a été soulevé et motivé ( art. 106 al. 2 LTF ; ATF 134 I 83 consid. 3.2 ; 133 II 249 consid. 1.4.2). Si le recourant se plaint de la violation de tels droits, il doit ainsi satisfaire au principe d'allégation (Rügeprinzip, principio dell'allegazione), en indiquant précisément quelle disposition constitutionnelle ou légale a été violée et en démontrant, par une argumentation précise, en quoi consiste la violation ( ATF 133 IV 286 consid. 1.4 ; 133 II 249 consid. 1.4.2).</w:t>
      </w:r>
    </w:p>
    <w:p>
      <w:r>
        <w:rPr>
          <w:b/>
        </w:rPr>
        <w:t>E. 3.2</w:t>
      </w:r>
    </w:p>
    <w:p>
      <w:r>
        <w:t>Le Tribunal fédéral ne peut s'écarter des faits établis par l'autorité précédente que si ceux-ci l'ont été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 art. 97 al. 1 LTF ), c'est-à-dire que les constatations de fait sont arbitraires au sens de l' art. 9 Cst. ( ATF 133 II 249 consid. 1.2.2), doit satisfaire au principe d'allégation susmentionné (consid. 3.1). Dans le domaine de l'appréciation des preuves et de la constatation des faits, le Tribunal fédéral se montre réservé, vu le large pouvoir qu'il reconnaît en la matière à l'autorité cantonale ( ATF 120 Ia 31 consid. 4b; 118 Ia 28 consid. 1b et les références citées).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129 I 8 consid. 2.1); encore faut-il que la correction du vice soit susceptible d'influer sur le sort de la cause ( art. 97 al. 1 LTF ).</w:t>
      </w:r>
    </w:p>
    <w:p>
      <w:r>
        <w:rPr>
          <w:b/>
        </w:rPr>
        <w:t>E. 4</w:t>
      </w:r>
    </w:p>
    <w:p>
      <w:r>
        <w:t>En substance, la cour cantonale a considéré que le fait que A.________ n'est plus sous la garde de son père mais vit avec sa mère, justifie d'adapter l'ordonnance du 16 octobre 2008 du Tribunal de Grande instance de Thonon-les-Bains qui avait supprimé toute contribution en faveur de l'enfant. Elle a ensuite retenu que le recourant, qui présente une incapacité de travail de 50 %, réalise un revenu net mensuel de 3'500 fr. pour une activité à 50 % et assume des charges à hauteur de 1'658 fr. 40. Sur ce dernier point, elle n'a pas pris en compte le loyer allégué, considérant qu'il ressort des pièces produites que celui-ci est payé par la société C.________ SA, dont la nouvelle épouse du recourant est administratrice. Elle en déduit que le disponible de X.________ s'élevant à 1'841 fr. 60 permet à celui-ci de combler le déficit de sa seconde épouse par 940 fr. (calculé sans loyer pour le motif susmentionné) et de servir une contribution d'entretien à sa fille, A.________, à hauteur de 900 fr., étant précisé que le budget de la mère de celle-ci présente un déficit de 256 fr.</w:t>
      </w:r>
    </w:p>
    <w:p>
      <w:r>
        <w:rPr>
          <w:b/>
        </w:rPr>
        <w:t>E. 5</w:t>
      </w:r>
    </w:p>
    <w:p>
      <w:r>
        <w:t>Le recourant ne s'en prend à l'arrêt entrepris qu'en tant que la cour cantonale a considéré que le loyer allégué par lui et son épouse était acquitté par C.________ SA, bailleresse. Dès lors que la capacité contributive doit être appréciée en fonction des charges effectives du débirentier, étant précisé que seuls les montants réellement acquittés peuvent être pris en compte ( ATF 121 III 20 consid. 3a; arrêt 5A_277/2009 du 6 juillet 2009 consid. 4.4.2), l'appréciation des preuves de l'instance cantonale n'est pas arbitraire. En effet, la mère de l'enfant ayant formellement contesté que le recourant s'acquittait du loyer allégué en instance cantonale et remis en cause la valeur probante des pièces produites, il appartenait à celui-ci de prouver le paiement effectif et mensuel de ses loyers, par exemple au moyen d'un extrait de débit de compte ou d'une quittance. Or, les pièces produites n'établissent pas formellement que ce sont les époux X.________ qui s'acquittent réellement des loyers. La critique du recourant, qui prétend que l'on pourrait déduire de l'expérience générale de la vie qu'une facture est déclarée payée par celui à qui elle est acquittée, ne permet en tous les cas pas de qualifier d'insoutenable l'appréciation de la cour cantonale, selon laquelle ces pièces, signées de la main de la seconde épouse du recourant, attestaient le paiement du loyer par la société bailleresse, dont celle-ci est l'administratrice. La critique du recourant est donc infondée.</w:t>
      </w:r>
    </w:p>
    <w:p>
      <w:r>
        <w:rPr>
          <w:b/>
        </w:rPr>
        <w:t>E. 6</w:t>
      </w:r>
    </w:p>
    <w:p>
      <w:r>
        <w:t>Sur le vu de ce qui précède, le recours doit être rejeté. Les conclusions du recourant étant dépourvues de toutes chances de succès, sa requête d'assistance judiciaire doit être rejetée ( art. 64 al. 1 LTF ) et les frais judiciaires mis à sa charge ( art. 66 al. 1 LTF ). Il n'y a pas lieu d'allouer de dépens aux intimées qui n'ont pas été invitées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