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833/2008 vom 5. August 2009</w:t>
      </w:r>
    </w:p>
    <w:p>
      <w:r>
        <w:t>Bundesgericht, 2009-08-05, DE</w:t>
      </w:r>
    </w:p>
    <w:p>
      <w:r>
        <w:rPr>
          <w:b/>
        </w:rPr>
        <w:t xml:space="preserve">Quelle: </w:t>
      </w:r>
      <w:r>
        <w:t>https://mcp.opencaselaw.ch/entscheid/bger_5A_833_2008</w:t>
      </w:r>
    </w:p>
    <w:p>
      <w:r>
        <w:t>FR: TF 5A 833/2008 du 5 août 2009</w:t>
      </w:r>
    </w:p>
    <w:p>
      <w:r>
        <w:t>IT: TF 5A 833/2008 del 5 agosto 2009</w:t>
      </w:r>
    </w:p>
    <w:p>
      <w:pPr>
        <w:pStyle w:val="Heading2"/>
      </w:pPr>
      <w:r>
        <w:t>Regeste</w:t>
      </w:r>
    </w:p>
    <w:p>
      <w:r>
        <w:t>Ehescheidung, eventuell vorsorgliche Massnahmen | Familienrecht</w:t>
      </w:r>
    </w:p>
    <w:p>
      <w:pPr>
        <w:pStyle w:val="Heading2"/>
      </w:pPr>
      <w:r>
        <w:t>Erwägungen</w:t>
      </w:r>
    </w:p>
    <w:p>
      <w:r>
        <w:rPr>
          <w:b/>
        </w:rPr>
        <w:t>E. 1</w:t>
      </w:r>
    </w:p>
    <w:p>
      <w:r>
        <w:t>Die Beschwerde richtet sich sowohl gegen den Entscheid des Kantonsgerichts betreffend Ehescheidung als auch gegen die Verfügung des Vizepräsidenten des Kantonsgerichts betreffend vorsorgliche Massnahmen je vom 10. November 2008. Auch wenn die beiden Entscheide in einem Dokument zusammengefasst worden sind, sind sie als separate Entscheide zu betrachten, sodass auch die Eintretensvoraussetzungen gesondert zu prüfen sind.</w:t>
      </w:r>
    </w:p>
    <w:p>
      <w:r>
        <w:rPr>
          <w:b/>
        </w:rPr>
        <w:t>E. 2.1</w:t>
      </w:r>
    </w:p>
    <w:p>
      <w:r>
        <w:t>Soweit sich die Beschwerde gegen den Entscheid betreffend den Kinderunterhalt des Beschwerdegegners richtet, ist ein kantonal letztinstanzlicher Entscheid ( Art. 75 Abs. 1 BGG ) in einer Scheidungssache und damit einer Zivilsache i.S.v. Art. 72 Abs. 1 BGG angefochten, welcher einen Endentscheid i.S.v. Art. 90 BGG darstellt. Dabei ist in vermögensrechtlichen Angelegenheiten die Beschwerde grundsätzlich nur zulässig, wenn der erforderliche Streitwert von 30'000.-- erreicht ist ( Art. 74 Abs. 1 lit. b BGG ). Wie schon unter der Herrschaft des OG gelten familienrechtliche Klagen mit den finanziellen Nebenfolgen als nicht vermögensrechtliche Streitigkeiten, wenn die Regelung dieser Folgen notwendiger Bestandteil des Entscheides über die nicht vermögensrechtliche Streitigkeit ist (Urteil 5A_108/2007 vom 11. Mai 2007 E. 1.2 mit Hinweis). Waren allerdings - wie vorliegend - nur die familienrechtlichen Nebenfolgen umstritten, handelt es sich um eine vermögensrechtliche Streitigkeit, deren Streitwert von mindestens Fr. 30'000.-- angesichts der Höhe und der unbestimmten Dauer der Unterhaltsbeiträge offenkundig überschritten wird (Art. 74 Abs. 1 lit. b i.V.m. Art. 51 Abs. 1 und 4 BGG ). Die Beschwerde in Zivilsachen ist somit insoweit gegeben.</w:t>
      </w:r>
    </w:p>
    <w:p>
      <w:r>
        <w:rPr>
          <w:b/>
        </w:rPr>
        <w:t>E. 2.2</w:t>
      </w:r>
    </w:p>
    <w:p>
      <w:r>
        <w:t>Im Rahmen der Ermittlung der Leistungsfähigkeit des Beschwerdegegners erwog das Kantonsgericht, dass dessen monatliches Einkommen zur Zeit Fr. 4'300.-- betrage. Er erhalte keinen 13. Monatslohn, da der Landes-Gesamtarbeitsvertrag des Gastgewerbes für ihn als Familienmitglied (er sei der Bruder seiner Arbeitgeberin) gemäss dessen Art. 2 nicht zur Anwendung komme.</w:t>
      </w:r>
    </w:p>
    <w:p>
      <w:r>
        <w:rPr>
          <w:b/>
        </w:rPr>
        <w:t>E. 2.2.1</w:t>
      </w:r>
    </w:p>
    <w:p>
      <w:r>
        <w:t>Sodann macht die Beschwerdeführerin geltend, das Kantonsgericht habe es entgegen ihrem Begehren in der schriftlichen Stellungnahme vom 26. September 2008 unterlassen, den Inhalt einer speziellen Regelung zu ermitteln, welche in einem Schreiben vom 14. Oktober 2007 festgehalten und auf welche in Ziff. 11 des Arbeitsvertrages verwiesen werde. Insofern rügt sie eine Verletzung des Anspruchs auf Beweisführung. Einen Anspruch darauf, für rechtserhebliche Sachvorbringen zum Beweis zugelassen zu werden - wenn der Beweisantrag nach Form und Inhalt den Vorschriften des kantonalen Rechts entspricht - geben sowohl Art. 29 Abs. 2 BV als auch Art. 8 ZGB , wobei bei der Beurteilung zivilrechtlicher Ansprüche beweisrechtlich Art. 8 ZGB zum Zuge kommt (Urteile 5A_44/2008 vom 7. Juli 2008 E. 3; 5A_193/2008 vom 13. Mai 2008 E. 3.1; 5A_403/2007 vom 25. Oktober 2007 E. 3; zu Art. 8 ZGB vgl. BGE 133 III 295 E. 7.1 S. 299; 132 III 222 E. 2.3 S. 226; 130 III 591 E. 5.4 S. 601; 129 III 18 E. 2.6 S. 24 f.; 126 III 315 E. 4a S. 317; je mit Hinweisen). Insofern kommt der Rüge der Beschwerdeführerin, das Kantonsgericht habe gegen das Willkürverbot verstossen, gegenüber der Rüge der Verletzung des Beweisführungsanspruchs keine selbständige Bedeutung zu. Die allgemeine Beweisvorschrift ist insbesondere verletzt, wenn der kantonale Richter Behauptungen einer Partei, unbekümmert darum, dass sie von der Gegenpartei bestritten worden sind, als richtig hinnimmt, oder über rechtserhebliche Tatsachen überhaupt nicht Beweis führen lässt ( BGE 133 III 295 E. 7.1 S. 299; 130 III 591 E. 5.4 S. 601 f.; je mit Hinweis). Die Beschwerdeführerin legt nicht dar, was das genannte Schreiben enthalten und wie es sich zu ihren Gunsten auswirken soll - mit anderen Worten, in welcher Hinsicht das Schreiben rechtserheblich sein soll. Die Rüge einer Verletzung des Beweisführungsanspruchs erweist sich daher als ungenügend begründet, sodass darauf nicht einzutreten ist.</w:t>
      </w:r>
    </w:p>
    <w:p>
      <w:r>
        <w:rPr>
          <w:b/>
        </w:rPr>
        <w:t>E. 2.3</w:t>
      </w:r>
    </w:p>
    <w:p>
      <w:r>
        <w:t>Weiter wendet sich die Beschwerdeführerin gegen die Bedarfsberechnung durch das Kantonsgericht. Dieses ermittelte einen monatlichen Bedarf des Beschwerdegegners von Fr. 2'800.--.</w:t>
      </w:r>
    </w:p>
    <w:p>
      <w:r>
        <w:rPr>
          <w:b/>
        </w:rPr>
        <w:t>E. 2.3.1</w:t>
      </w:r>
    </w:p>
    <w:p>
      <w:r>
        <w:t>Strittig ist dabei zum einen die Berücksichtigung der Kosten für die Ausübung des Besuchsrechts für das Jahr 2008. Das Kantonsgericht veranschlagte diese auf monatlich Fr. 333.--. Die Beschwerdeführerin macht geltend, dass der Beschwerdegegner entgegen seiner Ankündigung die Kinder im Herbst 2008 nicht besucht habe. Daher seien ihm die Besuchskosten in dieser Zeit nicht erwachsen. Wie aus dem vorinstanzlichen Entscheid hervorgeht, stand der vorgesehene Besuch des Beschwerdegegners damals noch bevor. Der von der Beschwerdeführerin vorgebrachte Sachverhalt betrifft somit einen Zeitpunkt nach dem angefochtenen Entscheid des Kantonsgerichts. Indes können im Rahmen einer Beschwerde nur Tatsachen, die anlässlich des vorinstanzlichen Entscheides bereits bestanden haben, ans Bundesgericht getragen werden (vgl. Botschaft vom 28. Februar 2001 zur Totalrevision der Bundesrechtspflege, BBl 2001 4340 Ziff. 4.1.4.3)</w:t>
      </w:r>
    </w:p>
    <w:p>
      <w:r>
        <w:rPr>
          <w:b/>
        </w:rPr>
        <w:t>E. 2.3.2</w:t>
      </w:r>
    </w:p>
    <w:p>
      <w:r>
        <w:t>Zum andern rügt die Beschwerdeführerin, das Kantonsgericht habe bei der Festsetzung der Kinderunterhaltsbeiträge nicht berücksichtigt, dass es im gleichen Entscheid die Unterhaltsbeiträge an die Beschwerdeführerin aufgehoben habe. Mit der rückwirkenden Aufhebung der Ehegattenrente und der Festsetzung der neuen Unterhaltsbeiträge an die Kinder erst ab Rechtskraft des vorinstanzlichen Urteils habe das Kantonsgericht dem Beschwerdegegner einen weiteren Freibetrag gewährt. Dieser Einwand geht an der kantonsgerichtlichen Argumentation vorbei, da dieses die Kinderunterhaltsbeiträge aufgrund der hälftigen Teilung des Überschusses aus Lohn und Bedarf des Beschwerdegegners berechnet und dabei den Unterhalt an die Beschwerdeführerin nicht berücksichtigt hat. Gegen diese Berechnungsweise richtet sich die Beschwerdeführerin nicht. Auch tut sie nicht weiter dar, weshalb der Wegfall des Ehegattenunterhalts die Höhe der Kinderunterhaltsbeiträge beeinflussen soll, sodass sich die Beschwerde auch insoweit als unsubstanziiert erweist und auf sie nicht einzutreten ist.</w:t>
      </w:r>
    </w:p>
    <w:p>
      <w:r>
        <w:rPr>
          <w:b/>
        </w:rPr>
        <w:t>E. 2.3.3</w:t>
      </w:r>
    </w:p>
    <w:p>
      <w:r>
        <w:t>Weiter macht die Beschwerdeführerin eine Verletzung von Art. 279 Abs. 1 ZGB geltend. Sie rügt damit implizit, dass die Vorinstanz den Beschwerdegegner nicht rückwirkend für ein Jahr vor Klageerhebung zur Leistung von Kinderunterhalt verpflichtet hat. Dabei verkennt sie, dass es vorliegend um Kinderunterhaltsbeiträge als Nebenfolgen einer Scheidung geht und diese grundsätzlich nicht mit Rückwirkung auf die Zeit vor Klageanhebung geltend gemacht werden können ( BGE 90 II 351 E. 4 S. 357; CYRIL HEGNAUER, Berner Kommentar, 4. Aufl. 1997, N. 150 zu Art. 279/280 ZGB; vgl. auch Urteil 5P.356/2002 vom 5. Dezember 2002 E. 2, in: Pra 92/2003 Nr. 110 S. 596; zum Verhältnis zwischen Kinderunterhalt im Rahmen eines Sachurteils und im Rahmen eines provisorischen Massnahmeentscheides vgl. Urteil 5A_725/2008 und 5A_733/2008 vom 6. August 2009 E. 3.1.3). Die Beschwerdeführerin nennt keinen Grund, der eine Abweichung von diesem Grundsatz rechtfertigen könnte. Die Rüge ist abzuweisen.</w:t>
      </w:r>
    </w:p>
    <w:p>
      <w:r>
        <w:rPr>
          <w:b/>
        </w:rPr>
        <w:t>E. 2.4</w:t>
      </w:r>
    </w:p>
    <w:p>
      <w:r>
        <w:t>Ausgehend davon, dass die vorinstanzliche Sachverhaltsermittlung nicht willkürlich ist, fehlt es an einer entscheidenden Grundlage für eine allfällige Berücksichtigung neuer Begehren (zur Rechtslage unter der Herrschaft des OG vgl. BGE 120 II 229 E. 1c S. 23). Deshalb kann die Frage offen bleiben, ob unter der Herrschaft des BGG bei Geltung der Offizialmaxime neue Begehren trotz Art. 99 Abs. 2 BGG zulässig sind.</w:t>
      </w:r>
    </w:p>
    <w:p>
      <w:r>
        <w:rPr>
          <w:b/>
        </w:rPr>
        <w:t>E. 3</w:t>
      </w:r>
    </w:p>
    <w:p>
      <w:r>
        <w:t>Eventualiter wendet sich die Beschwerdeführerin gegen die Verfügung des Vizepräsidenten des Kantonsgerichts betreffend Aufhebung der Unterhaltspflicht des Beschwerdegegners gegenüber der Beschwerdeführerin per Ende Januar 2008 (s. oben, E. 1). Das betreffende Begehren steht dabei unter dem Vorbehalt der Abweisung des oben behandelten Begehrens gegen den Entscheid betreffend den Kinderunterhalt. Nach ständiger Rechtsprechung des Bundesgerichts sind Prozesshandlungen der Parteien jedoch im Allgemeinen bedingungsfeindlich ( BGE 134 III 332 E. 2.2 ff. S. 333 ff.; 127 II 306 E. 6c S. 312 f.; 101 Ib 216 E. 2 S. 216 f.). Das Gericht muss notwendigerweise klaren verfahrensrechtlichen Verhältnissen gegenübergestellt werden. Ausnahmen von der Bedingungsfeindlichkeit werden regelmässig nur bei Vorliegen eines ausgewiesenen praktischen Bedürfnisses angenommen ( BGE 134 III 332 E. 2.5 S. 335). Als zulässig wird etwa die bloss vorsorgliche Einreichung eines Rechtsmittels betrachtet für den Fall, dass eine andere Instanz auf ein gleichzeitig eingereichtes Rechtsmittel oder einen zusätzlichen Rechtsbehelf (z.B. ein Wiedererwägungsgesuch) nicht eintritt ( BGE 134 III 332 E. 2.3 S. 334; 100 Ib 351 E. 1 S. 353). Zulässig sind ferner Eventualbegehren, welche gestellt werden können für den Fall, dass ein Hauptbegehren nicht geschützt wird ( BGE 134 III 332 E. 2.2 S. 333). Da sich das Begehren gegen den Entscheid betreffend vorsorgliche Massnahmen und nicht wie das oben behandelte Begehren (für den Fall dessen Abweisung es gestellt wird) gegen den Entscheid in der Hauptsache betreffend den Kinderunterhalt richtet, liegt kein zulässiges Eventualbegehren, sondern eine unzulässige bedingte Beschwerde vor, auf welche nicht einzutreten ist. Zudem erscheint fraglich, ob überhaupt eine rückwirkende Aufhebung der Unterhaltspflicht in Frage steht. 1. Insgesamt ist die Beschwerde abzuweisen, soweit darauf eingetreten werden kann. Wie die vorstehenden Ausführungen zeigen, konnte der Beschwerde von Anfang an kein Erfolg beschieden sein, weshalb es an den materiellen Voraussetzungen der unentgeltlichen Rechtspflege fehlt ( Art. 64 Abs. 1 BGG ) und das betreffende Gesuch der Beschwerdeführerin abzuweisen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