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5A_832/2017 vom 24. Oktober 2017</w:t>
      </w:r>
    </w:p>
    <w:p>
      <w:r>
        <w:t>Bundesgericht, 2017-10-24, DE</w:t>
      </w:r>
    </w:p>
    <w:p>
      <w:r>
        <w:rPr>
          <w:b/>
        </w:rPr>
        <w:t xml:space="preserve">Quelle: </w:t>
      </w:r>
      <w:r>
        <w:t>https://mcp.opencaselaw.ch/entscheid/bger_5A_832_2017</w:t>
      </w:r>
    </w:p>
    <w:p>
      <w:r>
        <w:t>FR: TF 5A_832/2017 du 24 octobre 2017</w:t>
      </w:r>
    </w:p>
    <w:p>
      <w:r>
        <w:t>IT: TF 5A_832/2017 del 24 ottobre 2017</w:t>
      </w:r>
    </w:p>
    <w:p>
      <w:pPr>
        <w:pStyle w:val="Heading2"/>
      </w:pPr>
      <w:r>
        <w:t>Erwägungen</w:t>
      </w:r>
    </w:p>
    <w:p>
      <w:r>
        <w:rPr>
          <w:b/>
        </w:rPr>
        <w:t>E. 1</w:t>
      </w:r>
    </w:p>
    <w:p>
      <w:r>
        <w:t>Angefochten ist ein kantonal letztinstanzlicher Entscheid betreffend unentgeltliche Rechtspflege, Ausstand und Rechtsverzögerung im Rahmen eines Scheidungsverfahrens; die Beschwerde in Zivilsachen steht offen.</w:t>
      </w:r>
    </w:p>
    <w:p>
      <w:r>
        <w:rPr>
          <w:b/>
        </w:rPr>
        <w:t>E. 2</w:t>
      </w:r>
    </w:p>
    <w:p>
      <w:r>
        <w:t>Keine Beschwer trifft den Beschwerdeführer in Bezug auf die gewährte unentgeltliche Rechtspflege. Er wendet sich denn auch nicht dagegen, sondern leitet daraus ab, dass ihm auch in allen früheren Verfahren seit dem Jahr 2010 die unentgeltliche Rechtspflege hätte gewährt werden müssen; hierfür gibt er eine Liste mit rund 40 Verfahren vor diversen Instanzen (Regionalgericht, Obergericht, Verwaltungsgericht, Bundesgericht, EGMR) zu den Akten. In den meisten dieser Verfahren liegt ein rechtskräftiger Entscheid vor, auf den nicht zurückgekommen werden kann. Der obergerichtliche Entscheid vom 6. September 2017 entfaltet aber auch in hängigen anderen Verfahren keine direkte Wirkung. Das Begehren ist mithin unzulässig und im Übrigen auch neu im Sinn von Art. 99 Abs. 2 BGG .</w:t>
      </w:r>
    </w:p>
    <w:p>
      <w:r>
        <w:rPr>
          <w:b/>
        </w:rPr>
        <w:t>E. 3</w:t>
      </w:r>
    </w:p>
    <w:p>
      <w:r>
        <w:t>Auf die Ausstandsbegehren sowie das Begehren um Feststellung einer Rechtsverzögerung trat das Obergericht mangels genügender Beschwerdebegründung nicht ein; im Zusammenhang mit der behaupteten Rechtsverzögerung bemerkte es überdies, dass eine gewisse Verzögerung in der Natur der Sache liege, wenn der Beschwerdeführer sämtliche prozessleitenden Verfügungen und Zwischenentscheide anfechte.</w:t>
      </w:r>
    </w:p>
    <w:p>
      <w:r>
        <w:t>Auch vor Bundesgericht beschränkt sich der Beschwerdeführer auf die abstrakte Aussage, die Anschuldigungen gegen die fehlbaren Gerichtspersonen würden schwer wiegen. Damit sind keine Ausstandsgründe dargetan, zumal ein Richter nicht allein deshalb befangen ist, weil er in einem früheren Verfahren zwischen den gleichen Parteien geurteilt hat ( BGE 129 III 445 E. 4.2.2.2 S. 466 f.; 143 IV 69 E. 3 S. 74).</w:t>
      </w:r>
    </w:p>
    <w:p>
      <w:r>
        <w:t>Im Zusammenhang mit der behaupteten Rechtsverzögerung hält es der Beschwerdeführer für fragwürdig, dass sein Ergreifen von Rechtsmitteln vorgeschoben werde; damit werde implizit eine vorhandene Verzögerung bestätigt. Indes unterlässt der Beschwerdeführer auch vor Bundesgericht jegliche konkreten Ausführungen, dass und inwiefern eine den involvierten Instanzen vorwerfbare Verzögerung vorliegen soll.</w:t>
      </w:r>
    </w:p>
    <w:p>
      <w:r>
        <w:rPr>
          <w:b/>
        </w:rPr>
        <w:t>E. 4</w:t>
      </w:r>
    </w:p>
    <w:p>
      <w:r>
        <w:t>Nach dem Gesagten erweist sich die Beschwerde als offensichtlich unzulässig (Korrektur anderer Kostenentscheide) bzw. offensichtlich nicht hinreichend begründet (Ausstand und Rechtsverzögerung), weshalb auf sie nicht eingetreten werden kann und der Präsident im vereinfachten Verfahren entscheidet ( Art. 108 Abs. 1 lit. a und b BGG ).</w:t>
      </w:r>
    </w:p>
    <w:p>
      <w:r>
        <w:rPr>
          <w:b/>
        </w:rPr>
        <w:t>E. 5</w:t>
      </w:r>
    </w:p>
    <w:p>
      <w:r>
        <w:t>Wie die vorstehenden Erwägungen zeigen, konnte der Beschwerde von Anfang an kein Erfolg beschieden sein, weshalb es an den materiellen Voraussetzungen der unentgeltlichen Rechtspflege mangelt ( Art. 64 Abs. 1 BGG ) und folglich das betreffende Gesuch abzuweisen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