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5A_831/2016 vom 21. März 2017</w:t>
      </w:r>
    </w:p>
    <w:p>
      <w:r>
        <w:t>Bundesgericht, 2017-03-21, FR</w:t>
      </w:r>
    </w:p>
    <w:p>
      <w:r>
        <w:rPr>
          <w:b/>
        </w:rPr>
        <w:t xml:space="preserve">Quelle: </w:t>
      </w:r>
      <w:r>
        <w:t>https://mcp.opencaselaw.ch/entscheid/bger_5A_831_2016</w:t>
      </w:r>
    </w:p>
    <w:p>
      <w:r>
        <w:t>FR: TF 5A_831/2016 du 21 mars 2017</w:t>
      </w:r>
    </w:p>
    <w:p>
      <w:r>
        <w:t>IT: TF 5A_831/2016 del 21 marzo 2017</w:t>
      </w:r>
    </w:p>
    <w:p>
      <w:pPr>
        <w:pStyle w:val="Heading2"/>
      </w:pPr>
      <w:r>
        <w:t>Erwägungen</w:t>
      </w:r>
    </w:p>
    <w:p>
      <w:r>
        <w:rPr>
          <w:b/>
        </w:rPr>
        <w:t>E. 1</w:t>
      </w:r>
    </w:p>
    <w:p>
      <w:r>
        <w:t>L'arrêt attaqué est une décision finale ( art. 90 LTF ; ATF 134 III 426 consid. 2.2), rendue par une juridiction cantonale de dernière instance ayant statué sur recours ( art. 75 al. 1 et 2 LTF ) dans une affaire civile ( art. 72 al. 1 LTF ). Il s'agit d'une contestation de nature pécuniaire dont la valeur litigieuse atteint 30'000 fr. (art. 51 al. 1 let. a, 51 al. 4 et 74 al. 1 let. b LTF). Le recourant, qui a été débouté de ses conclusions par l'autorité précédente, a qualité pour recourir ( art. 76 al. 1 LTF ). Déposé dans le délai ( art. 100 al. 1 LTF ) et la forme ( art. 42 al. 1 LTF ) prévus par la loi, le recours est donc en principe recevable.</w:t>
      </w:r>
    </w:p>
    <w:p>
      <w:r>
        <w:rPr>
          <w:b/>
        </w:rPr>
        <w:t>E. 2.1</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142 II 369 consid. 2.1;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w:t>
      </w:r>
    </w:p>
    <w:p>
      <w:r>
        <w:t>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soit annulée, encore faut-il qu'elle se révèle arbitraire non seulement dans ses motifs, mais aussi dans son résultat ( ATF 142 II 369 consid. 4.3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Une critique des faits qui ne satisfait pas à cette exigence est irrecevable ( art. 106 al. 2 LTF ; ATF 140 III 264 consid. 2.3 et les références; 133 II 249 consid. 1.4.3).</w:t>
      </w:r>
    </w:p>
    <w:p>
      <w:r>
        <w:rPr>
          <w:b/>
        </w:rPr>
        <w:t>E. 3</w:t>
      </w:r>
    </w:p>
    <w:p>
      <w:r>
        <w:t>Le recourant reproche en premier lieu à la cour cantonale d'avoir arbitrairement omis d'imputer un revenu hypothétique à l'intimée.</w:t>
      </w:r>
    </w:p>
    <w:p>
      <w:r>
        <w:rPr>
          <w:b/>
        </w:rPr>
        <w:t>E. 3.1</w:t>
      </w:r>
    </w:p>
    <w:p>
      <w:r>
        <w:t>La cour cantonale a retenu qu'au moment de la décision de première instance, la fille cadette du couple n'avait pas encore 10 ans. En outre, l'épouse était âgée de 51 ans, ne parlait que très peu le français et l'allemand, n'avait pas de formation professionnelle et peu d'expérience dans le monde du travail. Au vu de ces éléments, la juridiction précédente a estimé que " sous l'angle restreint de l'appréciation sommaire des faits et du droit propre à la procédure sommaire, [le premier juge avait] choisi judicieusement de ne pas modifier la situation qui préva[lait] depuis des années, réservant la position du juge du fond après une instruction approfondie de la question ". La juridiction précédente a ainsi confirmé le refus du premier juge d'imputer en l'état un revenu hypothétique à l'épouse.</w:t>
      </w:r>
    </w:p>
    <w:p>
      <w:r>
        <w:rPr>
          <w:b/>
        </w:rPr>
        <w:t>E. 3.2</w:t>
      </w:r>
    </w:p>
    <w:p>
      <w:r>
        <w:t>Soulignant que le but de l'indépendance économique des parties gagne en importance une fois la procédure de divorce ouverte, le recourant reproche à la cour cantonale d'avoir, de manière insoutenable, refusé de tenir compte, à ce stade, d'un revenu hypothétique et d'avoir arbitrairement réservé l'examen de cette question par le juge du fond. Il soutient en substance que son épouse a bénéficié pendant trois ans d'une contribution d'entretien sans exercer d'activité lucrative, disposant ainsi du temps nécessaire pour se former, améliorer ses connaissances linguistiques et chercher un emploi. Au vu de la situation économique précaire du couple, " l'intimée aurait dû prendre ses responsabilités de mère et reprendre une activité lucrative ". Par ailleurs, la cour cantonale n'aurait, de manière insoutenable, pas tenu compte du fait que la fille cadette du couple avait atteint l'âge de 10 ans le 30 juillet 2016, moment à partir duquel un taux d'activité complet aurait dû être imputé à l'intimée au regard de la situation financière très serrée des époux.</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137 III 102 consid. 4.2.2.2; 128 III 4 consid. 4a).</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w:t>
      </w:r>
    </w:p>
    <w:p>
      <w:r>
        <w:rPr>
          <w:b/>
        </w:rPr>
        <w:t>E. 3.3.2</w:t>
      </w:r>
    </w:p>
    <w:p>
      <w:r>
        <w:t>En l'espèce, le recourant - qui soutient que l'épouse aurait dû, à tout le moins depuis le dépôt de la demande de divorce et au vu de l'âge de l'enfant, entreprendre des démarches pour s'insérer dans le monde du travail et que c'est uniquement par " [sa] faute et [son] manque de motivation " qu'il lui est difficile de trouver un emploi - se contente de substituer sa propre appréciation à celle de la cour cantonale, qui a refusé de tenir compte en l'état d'un revenu hypothétique en se fondant sur plusieurs autres critères, pertinents selon la jurisprudence susmentionnée (cf.</w:t>
      </w:r>
    </w:p>
    <w:p>
      <w:r>
        <w:t>supra consid. 3.3.1). Le recourant ne précise en outre pas le type d'activité professionnelle que l'intimée pourrait exercer et ne chiffre pas le revenu qu'elle pourrait ainsi réaliser. Insuffisamment motivée, sa critique est irrecevable (cf.</w:t>
      </w:r>
    </w:p>
    <w:p>
      <w:r>
        <w:t>supra consid. 2.1 et 2.2).</w:t>
      </w:r>
    </w:p>
    <w:p>
      <w:r>
        <w:rPr>
          <w:b/>
        </w:rPr>
        <w:t>E. 4</w:t>
      </w:r>
    </w:p>
    <w:p>
      <w:r>
        <w:t>Le recourant reproche en second lieu à la cour cantonale d'avoir arbitrairement fixé le</w:t>
      </w:r>
    </w:p>
    <w:p>
      <w:r>
        <w:t>dies a quo de la modification de la contribution d'entretien en faveur de l'épouse.</w:t>
      </w:r>
    </w:p>
    <w:p>
      <w:r>
        <w:rPr>
          <w:b/>
        </w:rPr>
        <w:t>E. 4.1</w:t>
      </w:r>
    </w:p>
    <w:p>
      <w:r>
        <w:t>Il ressort de l'arrêt attaqué que le premier juge a fixé la date de la modification de la contribution d'entretien - qu'il a réduite de 2'780 fr. à 2'480 fr. - au 7 décembre 2015, ce que l'intimée n'a pas contesté. La cour cantonale a toutefois relevé qu'il était clair que l'épouse n'avait pas les moyens de rembourser les pensions déjà versées. En outre, compte tenu de la décision du premier juge, l'intimée pouvait légitimement espérer être en droit d'utiliser complètement le montant de 2'480 fr. Dans ces conditions, la réduction de la pension de 2'480 fr. à 2'000 fr. - résultant de l'admission partielle de l'appel - devait prendre effet à compter du 1</w:t>
      </w:r>
    </w:p>
    <w:p>
      <w:r>
        <w:t>er novembre 2016 seulement, la diminution de 2'780 fr. à 2'480 fr. s'appliquant depuis la date arrêtée par l'autorité de première instance.</w:t>
      </w:r>
    </w:p>
    <w:p>
      <w:r>
        <w:rPr>
          <w:b/>
        </w:rPr>
        <w:t>E. 4.2</w:t>
      </w:r>
    </w:p>
    <w:p>
      <w:r>
        <w:t>En substance, le recourant soutient qu'au moment du dépôt de la requête, tous les motifs pour lesquels la modification était demandée se trouvaient réalisés. L'épouse n'avait d'ailleurs pas contesté l'augmentation [des charges de l'époux], se contentant d'en prendre acte dans sa réponse à l'appel et l'ayant même admise dans sa requête de divorce. Dans ces circonstances, il était arbitraire de retenir que l'intimée disposait d'indices objectivement sérieux lui permettant de compter sur le maintien du jugement d'origine. En outre, bien qu'il soit probable que l'épouse n'ait en l'état pas les moyens de rembourser les montants déjà versés, il n'en restait pas moins que ceux-ci pouvaient donner lieu à une créance et faire l'objet d'un remboursement ultérieur. Selon le recourant, la juridiction précédente aurait également arbitrairement appliqué l' art. 58 CPC , dès lors que l'intimée n'avait ni déposé elle-même appel, ni contesté la date de modification dans sa réponse à l'appel.</w:t>
      </w:r>
    </w:p>
    <w:p>
      <w:r>
        <w:rPr>
          <w:b/>
        </w:rPr>
        <w:t>E. 4.3.1</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(arrêts 5A_274/2015 du 25 août 2015 consid. 3.5 non publié in ATF 141 III 376 ; 5A_745/2015 du 15 juin 2016 consid. 5.2.3).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(arrêt 5A_501/2015 du 12 janvier 2016 consid. 4.2 et les références). Cette dernière situation suppose que le crédirentier, sur la base d'indices objectivement sérieux, ait pu compter pendant la durée de la procédure avec le maintien du jugement d'origine; il s'agit ainsi d'un régime d'exception (arrêt 5A_894/2010 du 15 avril 2011 consid. 6.2; cf. ég. concernant la modification d'un jugement de divorce: arrêts 5A_461/2011 du 14 octobre 2011 consid. 5.2; 5A_217/2009 du 30 octobre 2009 consid. 3.3).</w:t>
      </w:r>
    </w:p>
    <w:p>
      <w:r>
        <w:rPr>
          <w:b/>
        </w:rPr>
        <w:t>E. 4.3.2</w:t>
      </w:r>
    </w:p>
    <w:p>
      <w:r>
        <w:t>En tant que le recourant se fonde sur des faits qui ne sont pas constatés dans la décision querellée - notamment sur le fait que l'épouse aurait admis l'augmentation des charges de son conjoint dans sa réponse à la demande unilatérale de divorce -, sans faire grief à la cour cantonale de les avoir arbitrairement écartés, sa critique est d'emblée irrecevable (cf.</w:t>
      </w:r>
    </w:p>
    <w:p>
      <w:r>
        <w:t>supra consid. 2.2; ATF 140 III 16 consid. 1.3.1).</w:t>
      </w:r>
    </w:p>
    <w:p>
      <w:r>
        <w:t>Pour le surplus, il n'apparaît pas, à la lumière des principes jurisprudentiels susmentionnés (cf.</w:t>
      </w:r>
    </w:p>
    <w:p>
      <w:r>
        <w:t>supra consid. 4.3.1), que la cour cantonale aurait manifestement commis un excès ou un abus de son pouvoir d'appréciation, au vu de l'absence - non contestée par le recourant (cf.</w:t>
      </w:r>
    </w:p>
    <w:p>
      <w:r>
        <w:t>supra consid. 2.2) - de capacité de remboursement de l'intimée - celle-ci ayant au demeurant plaidé au bénéfice de l'assistance judiciaire en première et deuxième instances -, ainsi que des conclusions en appel de l'épouse tendant au maintien du premier jugement et des motifs de la décision du premier juge figurant dans la décision attaquée. En considérant, en équité, qu'il ne pouvait être exigé de l'intimée, au vu de ses faibles ressources, qu'elle restitue les contributions perçues pendant la durée de la procédure, et qu'elle pouvait escompter que la contribution d'entretien fixée par le premier juge serait maintenue, la cour cantonale n'a pas tenu un raisonnement insoutenable.</w:t>
      </w:r>
    </w:p>
    <w:p>
      <w:r>
        <w:t>La critique du recourant est donc infondée dans la mesure de sa recevabilité.</w:t>
      </w:r>
    </w:p>
    <w:p>
      <w:r>
        <w:rPr>
          <w:b/>
        </w:rPr>
        <w:t>E. 4.4</w:t>
      </w:r>
    </w:p>
    <w:p>
      <w:r>
        <w:t>Aux termes de l' art. 58 al. 1 CPC - applicable aux contributions d'entretien en faveur du conjoint (arrêt 5A_757/2013 du 14 juillet 2014 consid. 2.1) -, le tribunal ne peut accorder à une partie ni plus ni autre chose que ce qui est demandé, ni moins que ce qui est reconnu par la partie adverse.</w:t>
      </w:r>
    </w:p>
    <w:p>
      <w:r>
        <w:t>Contrairement à ce que soutient le recourant, la juridiction précédente n'a pas statué au-delà des conclusions de l'intimée. En effet, celle-ci concluait en deuxième instance au rejet de l'appel, partant au maintien du jugement de première instance lui allouant une contribution d'entretien de 2'480 fr. à compter du 7 décembre 2015. Or, la cour cantonale lui a alloué ce montant à partir de cette date jusqu'au 31 octobre 2016 seulement, puis l'a réduit à partir du 1er novembre 2016. La pension reçue par l'épouse est donc moindre que celle à laquelle elle concluait en appel. Partant, le grief d'application arbitraire de l' art. 58 al. 1 CPC est infondé.</w:t>
      </w:r>
    </w:p>
    <w:p>
      <w:r>
        <w:rPr>
          <w:b/>
        </w:rPr>
        <w:t>E. 5</w:t>
      </w:r>
    </w:p>
    <w:p>
      <w:r>
        <w:t>En définitive, le recours est rejeté dans la mesure de sa recevabilité. Les conclusions du recourant étant d'emblée dépourvues de chances de succès, la requête d'assistance judiciaire de celui-ci est rejetée ( art. 64 al. 1 LTF ). Le recourant, qui succombe, supportera les frais judiciaires ( art. 66 al. 1 LTF ) et versera en outre des dépens à l'intimée ( art. 68 al. 1 et 2 LTF ), dont la requête d'assistance judiciaire devient ainsi en principe sans objet; il convient néanmoins de prévoir l'indemnisation de son conseil par la Caisse du Tribunal fédéral pour le cas où les dépens ne pourraient être recouvrés ( art. 64 al. 2 LTF ; art. 10, 2</w:t>
      </w:r>
    </w:p>
    <w:p>
      <w:r>
        <w:t>ème phrase, du Règlement sur les dépens alloués à la partie adverse et sur l'indemnité pour la représentation d'office dans les causes portées devant le Tribunal fédéral). L'intimée est toutefois rendue attentive au fait qu'elle devra alors rembourser la caisse si elle est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