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831/2014 vom 28. Oktober 2014</w:t>
      </w:r>
    </w:p>
    <w:p>
      <w:r>
        <w:t>Bundesgericht, 2014-10-28, DE</w:t>
      </w:r>
    </w:p>
    <w:p>
      <w:r>
        <w:rPr>
          <w:b/>
        </w:rPr>
        <w:t xml:space="preserve">Quelle: </w:t>
      </w:r>
      <w:r>
        <w:t>https://mcp.opencaselaw.ch/entscheid/bger_5A_831_2014</w:t>
      </w:r>
    </w:p>
    <w:p>
      <w:r>
        <w:t>FR: TF 5A 831/2014 du 28 octobre 2014</w:t>
      </w:r>
    </w:p>
    <w:p>
      <w:r>
        <w:t>IT: TF 5A 831/2014 del 28 ottobre 2014</w:t>
      </w:r>
    </w:p>
    <w:p>
      <w:pPr>
        <w:pStyle w:val="Heading2"/>
      </w:pPr>
      <w:r>
        <w:t>Regeste</w:t>
      </w:r>
    </w:p>
    <w:p>
      <w:r>
        <w:t>vorläufige Eintragung eines Bauhandwerkerpfandrechts | Sachenrecht</w:t>
      </w:r>
    </w:p>
    <w:p>
      <w:pPr>
        <w:pStyle w:val="Heading2"/>
      </w:pPr>
      <w:r>
        <w:t>Erwägungen</w:t>
      </w:r>
    </w:p>
    <w:p>
      <w:r>
        <w:rPr>
          <w:b/>
        </w:rPr>
        <w:t>E. 1</w:t>
      </w:r>
    </w:p>
    <w:p>
      <w:r>
        <w:t>Vor Bundesgericht angefochten ist ein Entscheid des Handelsgerichts des Kantons St. Gallen vom 19. September 2014, wonach in Bestätigung der dringlichen Verfügung vom 14. November 2013 das Grundbuchamt A.________ angewiesen wird, zugunsten der Y.________ AG (CHE-xxx) und zulasten der X.________ AG auf dem Grundstück GB A.________ Nr. yyy, B.________, A.________, ein Bauhandwerkerpfandrecht für eine Pfandsumme von Fr. 548'573.02 zuzüglich Zins zu 5 % auf Fr. 142'617.07 seit 31. Juli 2012, zuzüglich Zins zu 5 % auf Fr. 171'733.60 seit 11. Juni 2013, zuzüglich Zins zu 5 % auf Fr. 234'222.35 seit 6. Juli 2013 vorläufig vorzumerken.</w:t>
      </w:r>
    </w:p>
    <w:p>
      <w:r>
        <w:rPr>
          <w:b/>
        </w:rPr>
        <w:t>E. 2</w:t>
      </w:r>
    </w:p>
    <w:p>
      <w:r>
        <w:t>Beim Entscheid, der eine superprovisorisch angeordnete vorläufige Vormerkung eines Bauhandwerkerpfandrechts im Grundbuch bestätigt, handelt es sich um einen selbständig eröffneten Zwischenentscheid im Sinn von Art. 93 BGG (Urteil 5A_21/2014 vom 17. April 2014 E. 1.2). Nach der Rechtsprechung bewirkt er für die Beschwerdeführerin keinen nicht wieder gutzumachenden Nachteil im Sinn von Art. 93 Abs. 1 lit. a BGG . Der Nachteil ist nicht endgültig, fällt er doch dahin, wenn der Unternehmer mit seiner Klage auf definitive Eintragung des Bauhandwerkerpfandrechts unterliegt oder keine Klage anhebt. Im Übrigen ist kein rechtlicher Nachteil gegeben ( BGE 137 III 589 E. 1.2.3 S. 591). Die Gutheissung der Beschwerde gegen den Zwischenentscheid führt auch nicht sofort einen Endentscheid herbei und ist damit auch nicht geeignet, einen bedeutenden Aufwand an Zeit oder Kosten für ein weitläufiges Beweisverfahren zu ersparen ( Art. 93 Abs. 1 lit. b BGG ), zumal dadurch das Verfahren in der Sache nicht abgeschlossen wird (Urteil 5A_21/2014 vom 17. April 2014 E. 1.2).</w:t>
      </w:r>
    </w:p>
    <w:p>
      <w:r>
        <w:rPr>
          <w:b/>
        </w:rPr>
        <w:t>E. 3</w:t>
      </w:r>
    </w:p>
    <w:p>
      <w:r>
        <w:t>Ist keine der Voraussetzungen von Art. 93 Abs. 1 BGG erfüllt, erweist sich die Beschwerde als offensichtlich unzulässig. Auf sie ist daher im vereinfachten Verfahren nach Art. 108 Abs. 1 lit. a BGG durch den Abteilungspräsidenten unter Kostenfolge für die Beschwerdeführerin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