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5A_830/2021 vom 17. Februar 2022</w:t>
      </w:r>
    </w:p>
    <w:p>
      <w:r>
        <w:t>Bundesgericht, 2022-02-17, FR</w:t>
      </w:r>
    </w:p>
    <w:p>
      <w:r>
        <w:rPr>
          <w:b/>
        </w:rPr>
        <w:t xml:space="preserve">Quelle: </w:t>
      </w:r>
      <w:r>
        <w:t>https://mcp.opencaselaw.ch/entscheid/bger_5A_830_2021</w:t>
      </w:r>
    </w:p>
    <w:p>
      <w:r>
        <w:t>FR: TF 5A_830/2021 du 17 février 2022</w:t>
      </w:r>
    </w:p>
    <w:p>
      <w:r>
        <w:t>IT: TF 5A_830/2021 del 17 febbraio 2022</w:t>
      </w:r>
    </w:p>
    <w:p>
      <w:pPr>
        <w:pStyle w:val="Heading2"/>
      </w:pPr>
      <w:r>
        <w:t>Erwägungen</w:t>
      </w:r>
    </w:p>
    <w:p>
      <w:r>
        <w:rPr>
          <w:b/>
        </w:rPr>
        <w:t>E. 1</w:t>
      </w:r>
    </w:p>
    <w:p>
      <w:r>
        <w:t>Le recours a été déposé en temps utile ( art. 100 al. 1 LTF ) à l'encontre d'une décision finale ( art. 90 LTF ; ATF 134 III 115 consid. 1.1) rendue en matière de poursuite pour dettes ( art. 72 al. 2 let. a LTF , en relation avec l' art. 82 LP ) par le tribunal supérieur d'un canton ayant statué sur recours ( art. 75 al. 1 et 2 LTF ); la valeur litigieuse de 30'000 fr. est atteinte ( art. 74 al. 1 let. b LTF ). La recourante, qui a succombé devant la juridiction précédente, a qualité pour recourir ( art. 76 al. 1 LTF ).</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motifs que ceux invoqués par le recourant, comme il peut le rejeter en opérant une substitution de motifs ( ATF 146 IV 88 consid. 1.3.2; 145 IV 228 consid. 2.1 et la référence).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146 IV 297 consid. 1.2;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w:t>
      </w:r>
    </w:p>
    <w:p>
      <w:r>
        <w:t>supra consid. 2.1). Une critique des faits qui ne satisfait pas à cette exigence est irrecevable ( ATF 147 IV 73 consid. 4.1.2; 145 IV 154 consid. 1.1).</w:t>
      </w:r>
    </w:p>
    <w:p>
      <w:r>
        <w:t>En l'espèce, en tant que les éléments exposés dans la partie " Faits " du recours complètent ceux constatés dans l'arrêt querellé et qu'ils ne sont pas discutés sous l'angle de l'établissement arbitraire des faits ou de l'appréciation arbitraire des preuves, il n'en sera pas tenu compte.</w:t>
      </w:r>
    </w:p>
    <w:p>
      <w:r>
        <w:rPr>
          <w:b/>
        </w:rPr>
        <w:t>E. 3.1</w:t>
      </w:r>
    </w:p>
    <w:p>
      <w:r>
        <w:t>Selon l' art. 82 LP , le créancier dont la poursuite se fonde sur une reconnaissance de dette constatée par acte authentique ou sous seing privé peut requérir la mainlevée provisoire (al. 1); le juge la prononce si le débiteur ne rend pas immédiatement vraisemblable sa libération (al. 2).</w:t>
      </w:r>
    </w:p>
    <w:p>
      <w:r>
        <w:t>La procédure de mainlevée provisoire est une procédure sur pièces (</w:t>
      </w:r>
    </w:p>
    <w:p>
      <w:r>
        <w:t>Urkundenprozess ), dont le but n'est pas de constater la réalité de la créance en poursuite, mais l'existence d'un titre exécutoire. Le juge de la mainlevée provisoire examine seulement la force probante du titre produit par le créancier, sa nature formelle - et non la validité de la créance (arrêt 5A_595/2021 du 14 janvier 2022 consid. 6.1) - et lui attribue force exécutoire si le débiteur ne rend pas immédiatement vraisemblables ses moyens libératoires ( ATF 145 III 160 consid. 5.1 et la référence).</w:t>
      </w:r>
    </w:p>
    <w:p>
      <w:r>
        <w:rPr>
          <w:b/>
        </w:rPr>
        <w:t>E. 3.2</w:t>
      </w:r>
    </w:p>
    <w:p>
      <w:r>
        <w:t>Constitue une reconnaissance de dette l'acte sous seing privé signé par le poursuivi, d'où ressort sa volonté de payer au poursuivant, sans réserve ni condition, une somme d'argent déterminée, ou aisément déterminable, et exigible ( ATF 145 III 20 consid. 4.1.1; 139 III 297 consid. 2.3.1 et les références).</w:t>
      </w:r>
    </w:p>
    <w:p>
      <w:r>
        <w:rPr>
          <w:b/>
        </w:rPr>
        <w:t>E. 3.3</w:t>
      </w:r>
    </w:p>
    <w:p>
      <w:r>
        <w:t>Dans la poursuite contre la caution solidaire, le poursuivant ne peut obtenir la mainlevée provisoire de l'opposition que si l'acte de cautionnement est accompagné d'une reconnaissance de dette signée du débiteur principal et si la dette principale est exigible (arrêts 5A_1036/2018 du 15 mai 2019 consid. 4.1; 5A_477/2011 du 10 octobre 2011 consid. 4.3.1). Le contrat de cautionnement vaut par ailleurs reconnaissance de dette dans les poursuites de la caution qui a payé et qui exerce son recours contre le débiteur principal ( art. 507 CO ) à la condition que le paiement soit établi (VEUILLET, in La mainlevée de l'opposition, 2017, n° 197 ad art. 82 LP et les références; STAEHELIN, in Basler Kommentar, SchKG I, 3e éd. 2021, n° 136 ad art. 82 LP et les références).</w:t>
      </w:r>
    </w:p>
    <w:p>
      <w:r>
        <w:t>En vertu de l' art. 498 al. 2 CO , l'arrière-caution est garante envers la caution qui a payé du recours appartenant à celle-ci contre le débiteur. Les parties au contrat sont l'arrière-caution et la caution principale pour garantir la créance récursoire ( art. 507 CO ) de la seconde contre l'insolvabilité du débiteur principal ( ATF 61 II 99 consid. 2; arrêt 4C.242/1994 du 1er février 1995 consid. 2a). Le créancier principal n'est pas impliqué dans cette relation. L'arrière-cautionnement est un cautionnement au plein sens du terme, auquel les règles sur le cautionnement sont applicables ( ATF 61 II 99 consid. 2; arrêt 4C.242/1994 précité consid. 2a). Il est de nature accessoire, comme tout cautionnement. Ses effets dépendront ainsi de l'existence du droit de recours de la caution dans le cautionnement principal et par conséquent de la validité du cautionnement principal ( ATF 31 II 88 consid. 3; MEIER, in Commentaire romand, CO I, 3e éd. 2021, n° 8 ss ad art. 498 CO ). Il en découle que le contrat d'arrière-cautionnement ne peut valoir reconnaissance de dette que si le poursuivant établit notamment l'existence et la validité du contrat de cautionnement (MEIER, op. cit., n° 8 ad art. 498 CO ).</w:t>
      </w:r>
    </w:p>
    <w:p>
      <w:r>
        <w:rPr>
          <w:b/>
        </w:rPr>
        <w:t>E. 3.4</w:t>
      </w:r>
    </w:p>
    <w:p>
      <w:r>
        <w:t>Conformément à l' art. 82 al. 2 LP , le poursuivi peut faire échec à la mainlevée en rendant immédiatement vraisemblable sa libération. Il peut se prévaloir de tous les moyens de droit civil - exceptions ou objections - qui infirment la reconnaissance de dette ( ATF 145 III 20 consid. 4.1.2; 142 III 720 consid. 4.1), étant précisé que l'arrière-caution peut opposer à la caution principale les exceptions du débiteur principal (MEIER, op. cit., n° 13 ad art. 498 CO ; KRAUSKOPF/STUBER, OFK Kommentar OR, 3e éd. 2016, n° 9 ad art. 498 CO ). Le poursuivi n'a pas à apporter la preuve absolue (ou stricte) de ses moyens libératoires, mais seulement à les rendre vraisemblables, en principe par titre ( art. 254 al. 1 CPC ; ATF 145 III 20 consid. 4.1.2; 142 III 720 consid. 4.1). Le juge n'a pas à être persuadé de l'existence des faits allégués; il doit, en se fondant sur des éléments objectifs, avoir l'impression qu'ils se sont produits, sans exclure pour autant la possibilité qu'ils se soient déroulés autrement ( ATF 145 III 213 consid. 6.1.3; 142 III 720 consid. 4.1; 132 III 140 consid. 4.1.2).</w:t>
      </w:r>
    </w:p>
    <w:p>
      <w:r>
        <w:t>Pour faire échec à la mainlevée, le poursuivi peut notamment faire valoir la prescription de la créance à titre de moyen libératoire (arrêt 5A_741/2013 du 3 avril 2014 consid. 3.1.2 et la doctrine citée). La prescription doit être invoquée par le poursuivi, le juge de la mainlevée ne pouvant y suppléer d'office ( art. 142 CO ; VEUILLET, op. cit., n° 137 ad art. 82 LP ; STAEHELIN, op. cit., n° 96 ad art. 82 LP ).</w:t>
      </w:r>
    </w:p>
    <w:p>
      <w:r>
        <w:rPr>
          <w:b/>
        </w:rPr>
        <w:t>E. 3.5</w:t>
      </w:r>
    </w:p>
    <w:p>
      <w:r>
        <w:t>Il n'est pas contesté que le contrat d'arrière-cautionnement du 28 mai 2009 vaut en l'occurrence titre de mainlevée provisoire. Le litige porte uniquement sur l'exception de prescription invoquée par l'intimé.</w:t>
      </w:r>
    </w:p>
    <w:p>
      <w:r>
        <w:t>En tant que la recourante fonde ses griefs de violation des art. 318 et 507 CO sur des faits qui ne ressortent pas de l'arrêt querellé, à savoir la date de l'appel à caution et celle de son paiement à la créancière principale - l'arrêt querellé contenant, pour la seconde, uniquement la date alléguée par la recourante dans son recours cantonal ( art. 105 al. 1 LTF ; ATF 140 III 16 consid. 1.3.1), date qui ne correspond au demeurant pas à celle invoquée dans le présent recours -, la critique est irrecevable ( art. 106 al. 2 LTF ; cf.</w:t>
      </w:r>
    </w:p>
    <w:p>
      <w:r>
        <w:t>supra consid. 2.1). Dans la mesure où elle souligne que l'arrêt 4A_699/2011 est vivement critiqué en doctrine, la recourante perd de vue que, si tant est qu'il soit pertinent en l'espèce, cet arrêt a été confirmé ultérieurement (arrêt 4A_181/2012 du 10 septembre 2012 consid. 2). En tant qu'elle fait valoir qu'elle a été subrogée aux droits de la Banque D.________ à l'encontre de l'arrière-caution, la recourante ne peut être suivie. Il n'existe en effet pas de relation contractuelle entre la créancière principale et l'arrière-caution (cf.</w:t>
      </w:r>
    </w:p>
    <w:p>
      <w:r>
        <w:t>supra consid. 3.3), de sorte que la première ne peut avoir de créance à l'encontre de la seconde. Par ailleurs, le droit de recours de la caution fondé sur l' art. 507 CO constitue la créance garantie par le contrat d'arrière-cautionnement ( art. 498 al. 2 CO ) et non la créance de la recourante contre l'intimé née dudit contrat. Enfin, en tant qu'elle se prévaut de l' art. 501 al. 3 CO , sa critique se heurte au principe de l'épuisement matériel des instances ( art. 75 al. 1 LTF ; ATF 146 III 203 consid. 3.3.4; 145 III 42 consid. 2.2.2; 143 III 290 consid. 1.1).</w:t>
      </w:r>
    </w:p>
    <w:p>
      <w:r>
        <w:t>Au vu de ce qui précède, les griefs de la recourante doivent être rejetés dans la mesure de leur recevabilité, étant précisé que la décision du juge de la mainlevée provisoire ne prive pas la recourante du droit de soumettre à nouveau la question litigieuse au juge ordinaire ( art. 79 LP ; ATF 136 III 528 consid. 3.2; arrêt 5A_595/2021 du 14 janvier 2022 consid. 6.1).</w:t>
      </w:r>
    </w:p>
    <w:p>
      <w:r>
        <w:rPr>
          <w:b/>
        </w:rPr>
        <w:t>E. 4</w:t>
      </w:r>
    </w:p>
    <w:p>
      <w:r>
        <w:t>En définitive, le recours est rejeté dans la mesure de sa recevabilité, aux frais de son auteur ( art. 66 al. 1 LTF ). Il n'y a pas lieu d'allouer de dépens à l'intimé, qui n'est pas représenté par un avocat et n'a pas été invité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