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5A_829/2024 vom 14. Januar 2025</w:t>
      </w:r>
    </w:p>
    <w:p>
      <w:r>
        <w:t>Bundesgericht, 2025-01-14, FR</w:t>
      </w:r>
    </w:p>
    <w:p>
      <w:r>
        <w:rPr>
          <w:b/>
        </w:rPr>
        <w:t xml:space="preserve">Quelle: </w:t>
      </w:r>
      <w:r>
        <w:t>https://mcp.opencaselaw.ch/entscheid/bger_5A_829_2024</w:t>
      </w:r>
    </w:p>
    <w:p>
      <w:r>
        <w:t>FR: TF 5A_829/2024 du 14 janvier 2025</w:t>
      </w:r>
    </w:p>
    <w:p>
      <w:r>
        <w:t>IT: TF 5A_829/2024 del 14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5A_829/2024</w:t>
      </w:r>
    </w:p>
    <w:p>
      <w:r>
        <w:t>Arrêt du 14 janvier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Genève,</w:t>
      </w:r>
    </w:p>
    <w:p>
      <w:r>
        <w:t>intimé.</w:t>
      </w:r>
    </w:p>
    <w:p>
      <w:r>
        <w:t>Objet</w:t>
      </w:r>
    </w:p>
    <w:p>
      <w:r>
        <w:t>avance de frais (curatelle),</w:t>
      </w:r>
    </w:p>
    <w:p>
      <w:r>
        <w:t>recours contre la décision de la Chambre de</w:t>
      </w:r>
    </w:p>
    <w:p>
      <w:r>
        <w:t>surveillance de la Cour de justice du canton de</w:t>
      </w:r>
    </w:p>
    <w:p>
      <w:r>
        <w:t>Genève du 13 novembre 2024 (DCJC/1030/2024).</w:t>
      </w:r>
    </w:p>
    <w:p>
      <w:r>
        <w:t>Vu :</w:t>
      </w:r>
    </w:p>
    <w:p>
      <w:r>
        <w:t>la décision (DCJC/1030/2024) de la Chambre de surveillance de la Cour de justice du canton de Genève, du 13 novembre 2024, impartissant à A.________ un ultime délai au 25 novembre suivant pour effectuer une avance de frais de 400 fr., sous peine d'irrecevabilité du recours;</w:t>
      </w:r>
    </w:p>
    <w:p>
      <w:r>
        <w:t>le recours interjeté le 3 décembre 2024 par A.________ à l'encontre de cette décision;</w:t>
      </w:r>
    </w:p>
    <w:p>
      <w:r>
        <w:t>les compléments du recours des 18 et 19 décembre 2024;</w:t>
      </w:r>
    </w:p>
    <w:p>
      <w:r>
        <w:t>considérant :</w:t>
      </w:r>
    </w:p>
    <w:p>
      <w:r>
        <w:t>que la décision entreprise est une décision incidente qui n'est sujette à un recours immédiat que si elle peut causer un préjudice irréparable au sens de l' art. 93 al. 1 let. a LTF ( ATF 142 III 798 consid. 2.3.1, avec la jurisprudence citée);</w:t>
      </w:r>
    </w:p>
    <w:p>
      <w:r>
        <w:t>que la recourante n'expose pas en quoi son procédé serait recevable à cet égard (</w:t>
      </w:r>
    </w:p>
    <w:p>
      <w:r>
        <w:t>cf . à ce sujet: ATF 142 III 798 consid. 2.3.2);</w:t>
      </w:r>
    </w:p>
    <w:p>
      <w:r>
        <w:t>que, partant, le recours est irrecevable pour ce motif déjà;</w:t>
      </w:r>
    </w:p>
    <w:p>
      <w:r>
        <w:t>que, au demeurant, la recourante conteste une "</w:t>
      </w:r>
    </w:p>
    <w:p>
      <w:r>
        <w:t>mesure [de curatelle]</w:t>
      </w:r>
    </w:p>
    <w:p>
      <w:r>
        <w:t>injustifiée ", dont elle demande la "</w:t>
      </w:r>
    </w:p>
    <w:p>
      <w:r>
        <w:t>levée ", et conclut à l'annulation d'un "</w:t>
      </w:r>
    </w:p>
    <w:p>
      <w:r>
        <w:t>arrangement de payement (...)</w:t>
      </w:r>
    </w:p>
    <w:p>
      <w:r>
        <w:t>à titre de dommages et intérêts ";</w:t>
      </w:r>
    </w:p>
    <w:p>
      <w:r>
        <w:t>que ces questions excèdent toutefois l'objet de la décision entreprise, de sorte que le recours est aussi irrecevable sur ce point ( ATF 142 I 155 consid. 4.4.2 et les citations);</w:t>
      </w:r>
    </w:p>
    <w:p>
      <w:r>
        <w:t>que, en définitive, le recours doit être déclaré irrecevable par voie de procédure simplifiée ( art.108 al. 1 let. a et b LTF );</w:t>
      </w:r>
    </w:p>
    <w:p>
      <w:r>
        <w:t>que, vu les circonstances, il convient de renoncer à percevoir des frais judiciaires (art. 66 al. 1, 2ème phrase, LTF);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de surveillance de la Cour de justice du canton de Genève.</w:t>
      </w:r>
    </w:p>
    <w:p>
      <w:r>
        <w:t>Lausanne, le 14 janvier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