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829/2018 vom 8. Oktober 2018</w:t>
      </w:r>
    </w:p>
    <w:p>
      <w:r>
        <w:t>Bundesgericht, 2018-10-08, DE</w:t>
      </w:r>
    </w:p>
    <w:p>
      <w:r>
        <w:rPr>
          <w:b/>
        </w:rPr>
        <w:t xml:space="preserve">Quelle: </w:t>
      </w:r>
      <w:r>
        <w:t>https://mcp.opencaselaw.ch/entscheid/bger_5A_829_2018</w:t>
      </w:r>
    </w:p>
    <w:p>
      <w:r>
        <w:t>FR: TF 5A 829/2018 du 8 octobre 2018</w:t>
      </w:r>
    </w:p>
    <w:p>
      <w:r>
        <w:t>IT: TF 5A 829/2018 del 8 ottobre 2018</w:t>
      </w:r>
    </w:p>
    <w:p>
      <w:pPr>
        <w:pStyle w:val="Heading2"/>
      </w:pPr>
      <w:r>
        <w:t>Regeste</w:t>
      </w:r>
    </w:p>
    <w:p>
      <w:r>
        <w:t>Vertretungsbeistandschaft | Familienrecht</w:t>
      </w:r>
    </w:p>
    <w:p>
      <w:pPr>
        <w:pStyle w:val="Heading2"/>
      </w:pPr>
      <w:r>
        <w:t>Erwägungen</w:t>
      </w:r>
    </w:p>
    <w:p>
      <w:r>
        <w:rPr>
          <w:b/>
        </w:rPr>
        <w:t>E. 1</w:t>
      </w:r>
    </w:p>
    <w:p>
      <w:r>
        <w:t>In Zivilsachen können Parteien vor Bundesgericht nur von Anwälten vertreten werden, die nach dem Anwaltsgesetz vom 23. Juni 2000 (BGFA, SR 935.61) hierzu berechtigt sind ( Art. 40 Abs. 1 BGG ). C.________ ist offensichtlich nicht Rechtsanwältin und deshalb nicht zur Vertretung von A.________ befugt. Eine Rückweisung zur Verbesserung des Mangels (namentlich durch eigenhändige Unterzeichnung seitens des Beschwerdeführers) erübrigt sich jedoch, weil auf die Beschwerde mangels einer hinreichenden Begründung (vgl. E. 2) ohnehin nicht einzutreten ist.</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 Die Eingabe enthält einzig die Aussage, man finde es unerhört, dass die D.________ bei der KESB einen Beistand für den Beschwerdeführer beantragt habe, obwohl die administrativen Angelegenheiten sehr wohl von Familienmitgliedern erledigt werden könnten. Angefochten ist indes ein Nichteintretensentscheid des Obergerichts und es müsste deshalb wenigstens ansatzweise dargelegt werden, dass und inwiefern die kantonale Beschwerde eine genügende Begründung enthielt und das Obergericht deshalb die Beschwerde materiell hätte behandeln müssen bzw. mit seinem Nichteintretensentscheid gegen Recht verstossen haben soll.</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 zumal vor dem Hintergrund des Fremdhandelns durch C.________ nicht klar ist, ob A.________ überhaupt einen eigenen Beschwerdewillen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