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829/2015 vom 19. Oktober 2015</w:t>
      </w:r>
    </w:p>
    <w:p>
      <w:r>
        <w:t>Bundesgericht, 2015-10-19, DE</w:t>
      </w:r>
    </w:p>
    <w:p>
      <w:r>
        <w:rPr>
          <w:b/>
        </w:rPr>
        <w:t xml:space="preserve">Quelle: </w:t>
      </w:r>
      <w:r>
        <w:t>https://mcp.opencaselaw.ch/entscheid/bger_5A_829_2015</w:t>
      </w:r>
    </w:p>
    <w:p>
      <w:r>
        <w:t>FR: TF 5A 829/2015 du 19 octobre 2015</w:t>
      </w:r>
    </w:p>
    <w:p>
      <w:r>
        <w:t>IT: TF 5A 829/2015 del 19 ottobre 2015</w:t>
      </w:r>
    </w:p>
    <w:p>
      <w:pPr>
        <w:pStyle w:val="Heading2"/>
      </w:pPr>
      <w:r>
        <w:t>Regeste</w:t>
      </w:r>
    </w:p>
    <w:p>
      <w:r>
        <w:t>Nichteintreten auf Eingabe (Rechtsverweigerung) | Schuldbetreibungs- und Konkursrecht</w:t>
      </w:r>
    </w:p>
    <w:p>
      <w:pPr>
        <w:pStyle w:val="Heading2"/>
      </w:pPr>
      <w:r>
        <w:t>Erwägungen</w:t>
      </w:r>
    </w:p>
    <w:p>
      <w:r>
        <w:rPr>
          <w:b/>
        </w:rPr>
        <w:t>E. 1</w:t>
      </w:r>
    </w:p>
    <w:p>
      <w:r>
        <w:t>Der Beschwerdeführer hat mit Eingabe vom 16. Oktober 2015 beim Bundesgericht eine Verfügung des Instruktionsrichters des Obergerichts des Kantons Bern vom 28. September 2015 angefochten. In dieser Verfügung ist der Instruktionsrichter auf Eingaben des Beschwerdeführers vom 18. September 2015 im Verfahren Nr. xxx nicht eingetreten.</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w:t>
      </w:r>
    </w:p>
    <w:p>
      <w:r>
        <w:rPr>
          <w:b/>
        </w:rPr>
        <w:t>E. 2.2</w:t>
      </w:r>
    </w:p>
    <w:p>
      <w:r>
        <w:t>Der Instruktionsrichter hat erwogen, im Entscheid des Obergerichts des Kantons Bern vom 4. Oktober 2013 (yyy) und im Urteil des Bundesgerichts vom 20. November 2014 (5D_177/2014) sei er darauf hingewiesen worden, dass zukünftige ähnliche Eingaben gemäss Art. 132 Abs. 3 ZPO ohne weiteres zurückgeschickt werden könnten. Die Eingabe vom 18. September 2015 enthielten wiederum bloss allgemeine, schwer verständliche und nicht im Zusammenhang mit den angefochtenen Entscheiden stehende Kritik und seien deshalb als querulatorisch zu betrachten und würden daher in Anwendung der genannten Gesetzesbestimmung ohne weitere Behandlung zurückgeschickt.</w:t>
      </w:r>
    </w:p>
    <w:p>
      <w:r>
        <w:rPr>
          <w:b/>
        </w:rPr>
        <w:t>E. 2.3</w:t>
      </w:r>
    </w:p>
    <w:p>
      <w:r>
        <w:t>Der Beschwerdeführer zeigt in seinen Ausführungen nicht anhand der Erwägungen des angefochtenen Entscheids auf, inwiefern die Vorinstanz Bundesrecht oder seine verfassungsmässigen Rechte verletzt haben soll. Auf die offensichtlich nicht hinreichend begründete Beschwerde ist somit im vereinfachten Verfahren durch den Präsidenten der Abteilung (Art. 108 Abs. 1 bzw. Art. 108 Abs. 1 lit. b BGG ) unter Kostenfolge für den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