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5A_828/2024 vom 22. Januar 2025</w:t>
      </w:r>
    </w:p>
    <w:p>
      <w:r>
        <w:t>Bundesgericht, 2025-01-22, IT</w:t>
      </w:r>
    </w:p>
    <w:p>
      <w:r>
        <w:rPr>
          <w:b/>
        </w:rPr>
        <w:t xml:space="preserve">Quelle: </w:t>
      </w:r>
      <w:r>
        <w:t>https://mcp.opencaselaw.ch/entscheid/bger_5A_828_2024</w:t>
      </w:r>
    </w:p>
    <w:p>
      <w:r>
        <w:t>FR: TF 5A_828/2024 du 22 janvier 2025</w:t>
      </w:r>
    </w:p>
    <w:p>
      <w:r>
        <w:t>IT: TF 5A_828/2024 del 22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21 novembre 2022 l'Autorità regionale di protezione 12 sede di Minusio ha istituito in favore di A.________ (nato nel 1980) una curatela di rappresentanza ai sensi dell' art. 394 cpv. 1 CC e ha nominato B.________ quale curatore. Con decisione 19 luglio 2024 l'autorità di protezione ha approvato il rapporto morale con rendiconto finanziario per il 2023, riconoscendo al curatore un'indennità di fr. 1'212.-- e un rimborso spese di fr. 62.40.</w:t>
      </w:r>
    </w:p>
    <w:p>
      <w:r>
        <w:t>Mediante sentenza 2 dicembre 2024 il Presidente della Camera di protezione del Tribunale d'appello del Cantone Ticino ha dichiarato irricevibile, per insufficiente motivazione, il reclamo interposto da A.________ contro la decisione 19 luglio 2024. Secondo il Presidente, A.________ non aveva indicato gli elementi della decisione che intendeva impugnare né spiegato le ragioni per le quali essa avrebbe dovuto essere riformata o annullata.</w:t>
      </w:r>
    </w:p>
    <w:p>
      <w:r>
        <w:rPr>
          <w:b/>
        </w:rPr>
        <w:t>E. 2</w:t>
      </w:r>
    </w:p>
    <w:p>
      <w:r>
        <w:t>Con scritto datato 3 dicembre 2024 A.________ ha impugnato tale sentenza cantonale dinanzi al Tribunale federale, ritenendola " di/con carattere fraudolento ed inadatta ad Amministrazione Federale " ed elencando una serie di ipotesi di reato (" contro la persona ", " contro il patrimonio ", " contro gli interessi della Confederazione ", " concernenti lo sviamento della Giustizia ", " di favoreggiamento ad organizzazione criminale ").</w:t>
      </w:r>
    </w:p>
    <w:p>
      <w:r>
        <w:t>Non sono state chieste determinazioni.</w:t>
      </w:r>
    </w:p>
    <w:p>
      <w:r>
        <w:rPr>
          <w:b/>
        </w:rPr>
        <w:t>E. 3.1</w:t>
      </w:r>
    </w:p>
    <w:p>
      <w:r>
        <w:t>Lo scritto di A.________ è trattato quale ricorso in materia civile giusta gli art. 72 segg. LTF. La causa qui discussa, che concerne sia l'approvazione del rapporto morale che la remunerazione del curatore, è infatti di natura complessivamente non pecuniaria e può pertanto essere oggetto di un ricorso in materia civile a prescindere dal valore di lite (v. sentenza 5A_274/2018 del 21 settembre 2018 consid. 1).</w:t>
      </w:r>
    </w:p>
    <w:p>
      <w:r>
        <w:t>L'atto ricorsuale al Tribunale federale deve contenere le conclusioni ed i motivi ( art. 42 cpv. 1 LTF ). Nei motivi il ricorrente deve spiegare in modo conciso,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</w:t>
      </w:r>
    </w:p>
    <w:p>
      <w:r>
        <w:rPr>
          <w:b/>
        </w:rPr>
        <w:t>E. 3.2</w:t>
      </w:r>
    </w:p>
    <w:p>
      <w:r>
        <w:t>Il rimedio qui all'esame non contiene alcuna proposta di giudizio. Inoltre, esso non soddisfa le esigenze di motivazione degli art. 42 cpv. 2 e 106 cpv. 2 LTF: limitandosi ad apoditticamente affermare che il suo reclamo era " motivato, giustificato e con relativa documentazione ", il ricorrente non si misura a sufficienza con l'argomentazione posta a fondamento della sentenza cantonale di irricevibilità e non spiega in che modo essa violerebbe il diritto.</w:t>
      </w:r>
    </w:p>
    <w:p>
      <w:r>
        <w:rPr>
          <w:b/>
        </w:rPr>
        <w:t>E. 4</w:t>
      </w:r>
    </w:p>
    <w:p>
      <w:r>
        <w:t>Da quanto precede discende che il ricorso, manifestamente inammissibile e manifestamente non motivato in modo sufficiente, può essere deciso nella procedura semplificata dell'art. 108 cpv. 1 lett. a/b LTF.</w:t>
      </w:r>
    </w:p>
    <w:p>
      <w:r>
        <w:t>Viste le particolarità del caso concreto, si può rinunciare a riscuotere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