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828/2022 vom 29. Juni 2023</w:t>
      </w:r>
    </w:p>
    <w:p>
      <w:r>
        <w:t>Bundesgericht, 2023-06-29, DE</w:t>
      </w:r>
    </w:p>
    <w:p>
      <w:r>
        <w:rPr>
          <w:b/>
        </w:rPr>
        <w:t xml:space="preserve">Quelle: </w:t>
      </w:r>
      <w:r>
        <w:t>https://mcp.opencaselaw.ch/entscheid/bger_5A_828_2022</w:t>
      </w:r>
    </w:p>
    <w:p>
      <w:r>
        <w:t>FR: TF 5A 828/2022 du 29 juin 2023</w:t>
      </w:r>
    </w:p>
    <w:p>
      <w:r>
        <w:t>IT: TF 5A 828/2022 del 29 giugno 2023</w:t>
      </w:r>
    </w:p>
    <w:p>
      <w:pPr>
        <w:pStyle w:val="Heading2"/>
      </w:pPr>
      <w:r>
        <w:t>Regeste</w:t>
      </w:r>
    </w:p>
    <w:p>
      <w:r>
        <w:t>Definitive Rechtsöffnung | Schuldbetreibungs- und Konkursrecht</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w:t>
      </w:r>
    </w:p>
    <w:p>
      <w:r>
        <w:rPr>
          <w:b/>
        </w:rPr>
        <w:t>E. 1.2</w:t>
      </w:r>
    </w:p>
    <w:p>
      <w:r>
        <w:t>Der Beschwerdeführer hat am vorinstanzlichen Verfahren teilgenommen. Er ist als Betreibungsschuldner vom angefochtenen Entscheid besonders berührt und hat ein schutzwürdiges Interesse an dessen Aufhebung oder Änderung. Er ist daher zur Beschwerde berechtigt ( Art. 76 Abs. 1 BGG ).</w:t>
      </w:r>
    </w:p>
    <w:p>
      <w:r>
        <w:rPr>
          <w:b/>
        </w:rPr>
        <w:t>E. 1.3</w:t>
      </w:r>
    </w:p>
    <w:p>
      <w:r>
        <w:t>Mit der vorliegenden Beschwerde kann u.a. die Verletzung von Bundes- sowie Völkerrecht gerügt werden ( Art. 95 lit. a und b BGG ). In der Beschwerde ist in gedrängter Form darzulegen, inwiefern der angefochtene Entscheid Recht verletzt ( Art. 42 Abs. 2 BGG ; BGE 143 I 377 E. 1.2). Die Verletzung verfassungsmässiger Rechte ist ebenfalls zu begründen ( Art. 106 Abs. 2 BGG ), wobei hier das Rügeprinzip gilt ( BGE 142 III 364 E. 2.4). Das Bundesgericht legt seinem Entscheid den Sachverhalt zugrunde, den die Vorinstanz festgestellt hat ( Art. 105 Abs. 1 BGG ).</w:t>
      </w:r>
    </w:p>
    <w:p>
      <w:r>
        <w:rPr>
          <w:b/>
        </w:rPr>
        <w:t>E. 2.1</w:t>
      </w:r>
    </w:p>
    <w:p>
      <w:r>
        <w:t>Das Rechtsöffnungsgericht hat in Anwendung des IPRG die "Uniform Support Order" des Bezirksgerichts Laconia (USA) vom 11. März 2018 bezüglich der vorfrageweisen Anerkennung und Vollstreckbarerklärung beurteilt. Es hat erkannt, dass die Zuständigkeit des amerikanischen Gerichts begründet war, ein endgültiger Entscheid vorliegt und einer Anerkennung des amerikanischen Urteils in der Schweiz keine Verweigerungsgründe entgegenstehen.</w:t>
      </w:r>
    </w:p>
    <w:p>
      <w:r>
        <w:rPr>
          <w:b/>
        </w:rPr>
        <w:t>E. 2.2</w:t>
      </w:r>
    </w:p>
    <w:p>
      <w:r>
        <w:t>In der gegen die Erteilung der definitiven Rechtsöffnung erhobenen Beschwerde wurde vorgebracht, die eingereichte Vollstreckbarkeitsbescheinigung sei weder unterschrieben noch mit einem Dienstsiegel der ausstellenden Behörde versehen worden. Das Obergericht hat die Frage, ob die im Recht liegende Vollstreckbarkeitsbescheinigung den Anforderungen genügt, offengelassen, da aus anderen aktenkundigen Dokumenten unzweifelhaft hervorgehe, dass die Entscheidung in Rechtskraft erwachsen und vollstreckbar sei. Im Ergebnis hat es die Auffassung des Bezirksgerichts bestätigt, dass mit der "Uniform Support Order" vom 11. März 2018 ein anerkenn- und vollstreckbarer Entscheid vorliegt und der Beschwerdegegnerin die definitive Rechtsöffnung gestützt hierauf zu erteilen ist.</w:t>
      </w:r>
    </w:p>
    <w:p>
      <w:r>
        <w:rPr>
          <w:b/>
        </w:rPr>
        <w:t>E. 3</w:t>
      </w:r>
    </w:p>
    <w:p>
      <w:r>
        <w:t>Anlass zur Beschwerde gibt die vorfrageweise Anerkennung und Vollstreckbarerklärung einer amerikanischen Entscheidung im Rahmen der definitiven Rechtsöffnung ( Art. 81 Abs. 3 SchKG ).</w:t>
      </w:r>
    </w:p>
    <w:p>
      <w:r>
        <w:rPr>
          <w:b/>
        </w:rPr>
        <w:t>E. 3.1</w:t>
      </w:r>
    </w:p>
    <w:p>
      <w:r>
        <w:t>Die Schweiz hat mit den Vereinigten Staaten von Amerika ein Abkommen zur Durchsetzung von Unterhaltsverpflichtungen abgeschlossen (Abkommen vom 31. August 2004 zwischen dem Schweizerischen Bundesrat und der Regierung der Vereinigten Staaten von Amerika über die Durchsetzung von Unterhaltsverpflichtungen [SR 0.211.213.133.6; im Folgenden: Bilaterales Abkommen mit den USA]). Dieses Abkommen stellt kein eigentliches Vollstreckungsabkommen dar, sondern eine Art Rechtshilfeabkommen, welches die Geltendmachung von Unterhaltsansprüchen im jeweils anderen Vertragsstaat erleichtern soll (ARNET, Die Vollstreckbarerklärung schweizerischer Kindesunterhaltsverträge auf staatsvertraglicher Basis, 2013, Rz. 394; WEBER, in: FamKomm Scheidung, Bd. II: Anhänge, 4. Aufl. 2022, N. 142 zu Anhang IPR). Des Weiteren richten sich die Anerkennungsvoraussetzungen nach dem Recht des Vollstreckungsstaates (vgl. Art. 7 Abs. 1 des bilateralen Abkommens mit den USA), was bedeutet, dass für die Frage der Anerkennung und Vollstreckbarerklärung einer amerikanischen Unterhaltsentscheidung in Ermangelung eines (bilateralen oder multilateralen) Staatsvertrags die autonomen IPRG-Regelungen zur Anwendung kommen (MANI, Inkassohilfe und Bevorschussung von Unterhaltsbeiträgen, 2016, Rz. 64). Nach Art. 25 lit. a-c IPRG wird eine ausländische Entscheidung in der Schweiz anerkannt, wenn die Zuständigkeit der Entscheidbehörde im Urteilsstaat begründet war, dort gegen die Entscheidung kein ordentliches Rechtsmittel mehr geltend gemacht werden kann oder sie endgültig ist, und kein Verweigerungsgrund im Sinne von Art. 27 IPRG vorliegt.</w:t>
      </w:r>
    </w:p>
    <w:p>
      <w:r>
        <w:rPr>
          <w:b/>
        </w:rPr>
        <w:t>E. 3.2</w:t>
      </w:r>
    </w:p>
    <w:p>
      <w:r>
        <w:t>Der Beschwerdeführer macht geltend, das Obergericht habe mit seiner Beurteilung, wonach unzweifelhaft sei, dass die Entscheidung des Bezirksgerichts Laconia (USA) in Rechtskraft erwachsen und vollstreckbar sei, gegen Bundes- und Völkerrecht verstossen. Er besteht auf einem aus der Sachlogik geborenen Standard, wonach die einzureichende Rechtskraftsbestätigung einen Stempel und eine Unterschrift enthalten müsse. Die Nichtbeachtung dieser Förmlichkeit müsse zur Abweisung des Gesuchs um definitive Rechtsöffnung führen.</w:t>
      </w:r>
    </w:p>
    <w:p>
      <w:r>
        <w:rPr>
          <w:b/>
        </w:rPr>
        <w:t>E. 3.3.1</w:t>
      </w:r>
    </w:p>
    <w:p>
      <w:r>
        <w:t>Gemäss Art. 4 Ziff. 5 lit. b des bilateralen Abkommens mit den USA ist der Entscheidung unter anderem eine Rechtskraftsbestätigung oder, wenn es sich nicht um einen Endentscheid handelt, eine Vollstreckbarkeitsbestätigung sowie ein Nachweis beizufügen, dass der Gesuchsgegner an der Verhandlung erschienen ist oder dass er dazu vorgeladen wurde und die Gelegenheit hatte, daran teilzunehmen. Dass die Rechtskrafts- bzw. Vollstreckbarkeitsbestätigung zu unterzeichnen oder mit einem Dienstsiegel zu versehen ist, ist im Abkommen nicht bestimmt. Weiter hat das Obergericht im angefochtenen Entscheid zutreffend auf die bundesgerichtliche Rechtsprechung hingewiesen, wonach das Fehlen einer Bescheinigung nicht zur Verweigerung des Exequaturs führt, wenn die Rechtskraft der Entscheidung nicht bestritten wird oder aus den übrigen Akten hervorgeht, dass die Entscheidung rechtskräftig und vollstreckbar ist (vgl. Urteile 5A_17/2022 vom 4. August 2022 E. 5.3.1; 5A_712/2018 vom 20. November 2018 E. 2.3.2; 5A_840/2009 vom 30. April 2010 E. 2.3; BGE 102 Ia 76 E. 2e ; 53 I 219 ; 39 I 624 E. 1; STAEHELIN, in: Basler Kommentar, Bundesgesetz über Schuldbetreibung und Konkurs, 3. Aufl. 2021, N. 100b zu Art. 80 SchKG ; ABBET, in: La mainlevée de l'opposition, 2. Aufl. 2022, N. 92 zu Art. 81 SchKG ).</w:t>
      </w:r>
    </w:p>
    <w:p>
      <w:r>
        <w:rPr>
          <w:b/>
        </w:rPr>
        <w:t>E. 3.3.2</w:t>
      </w:r>
    </w:p>
    <w:p>
      <w:r>
        <w:t>Vorliegend wurde für die Bescheinigung der Vollstreckbarkeit der Entscheidung des Bezirksgerichts Laconia (USA) vom 11. März 2018 ein von der Haager Konferenz für internationales Privatrecht empfohlenes Formular (in zweisprachiger Ausführung) zum Übereinkommen vom 23. November 2007 über die internationale Geltendmachung der Unterhaltsansprüche von Kindern und anderen Familienangehörigen (Haager Unterhaltsübereinkommen 2007) verwendet. Eine Rubrik für das Dienstsiegel der die Bestätigung ausstellenden Behörde und/oder die Unterschrift des betreffenden Beamten der zuständigen Behörde ist auf diesem Formular nicht enthalten. Ungeachtet des Umstands, dass die Schweiz diesem modernen Übereinkommen noch nicht beigetreten ist, erhellt daraus, dass es eine "universelle" Formvorschrift, wonach Rechtskrafts- bzw. Vollstreckbarkeitsbescheinigungen in jedem Fall einen Gerichtsstempel und/oder eine Unterschrift enthalten müssten, nicht gibt. Davon ist zu Recht auch das Bezirksgericht ausgegangen. Im Übrigen sind die Vorbringen des Beschwerdeführers, soweit auf die alternative Begründung des Obergerichts überhaupt eingegangen wird, weitgehend appellatorischer Natur. Der Beschwerdeführer hat nach den unbestritten gebliebenen vorinstanzlichen Feststellungen ( Art. 105 Abs. 1 BGG ) insbesondere nicht bestritten, dass den von ihm gegen die Entscheidung vom 11. März 2018 erhobenen Rechtsbehelfen vom 7. April und 22. Mai 2018 kein Erfolg beschieden war. Dass die genannten Rechtsbehelfe des Beschwerdeführers vorbehaltslos zurückgewiesen worden sind, ist überdies aktenkundig und die Einlegung weiterer Rechtsmittel oder Rechtsbehelfe hat der Beschwerdeführer nicht behauptet. Bereits deshalb gelingt es dem Beschwerdeführer mit seinen Vorbringen nicht, die Schlussfolgerung des Obergerichts umzustossen, dass die "Uniform Support Order" zweifelsfrei in Rechtskraft erwachsen und vollstreckbar ist.</w:t>
      </w:r>
    </w:p>
    <w:p>
      <w:r>
        <w:rPr>
          <w:b/>
        </w:rPr>
        <w:t>E. 3.4</w:t>
      </w:r>
    </w:p>
    <w:p>
      <w:r>
        <w:t>Soweit der Beschwerdeführer weiter behauptet, dass aus der eingereichten Ausfertigung der Entscheidung vom 11. März 2018 nicht eindeutig hervorgehe, ob diese vom zuständigen Gericht erstellt worden sei, ist darauf nicht einzutreten. Der Beschwerdeführer hat im vorinstanzlichen Verfahren gegen die eingereichte Ausfertigung der Entscheidung vom 11. März 2018 keine formellen Einwände erhoben, womit in diesem Punkt der kantonale Instanzenzug nicht ausgeschöpft ist (vgl. zum Erfordernis der materiellen Ausschöpfung des kantonalen Instanzenzugs: BGE 146 III 203 E. 3.3.4 mit Hinweisen).</w:t>
      </w:r>
    </w:p>
    <w:p>
      <w:r>
        <w:rPr>
          <w:b/>
        </w:rPr>
        <w:t>E. 4</w:t>
      </w:r>
    </w:p>
    <w:p>
      <w:r>
        <w:t>Aus den dargelegten Gründen ist die Beschwerde abzuweisen, soweit darauf einzutreten ist. Zufolge Aussichtslosigkeit der Beschwerde ist dem Gesuch um unentgeltliche Rechtspflege keine Folge zu geben ( Art. 64 Abs. 1 BGG ). Ausgangsgemäss trägt der Beschwerdeführer die Verfahrenskosten ( Art. 66 Abs. 1 BGG ). Eine Parteientschädigung ist nicht geschuldet, zumal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