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5A_826/2012 vom 5. Dezember 2012</w:t>
      </w:r>
    </w:p>
    <w:p>
      <w:r>
        <w:t>Bundesgericht, 2012-12-05, DE</w:t>
      </w:r>
    </w:p>
    <w:p>
      <w:r>
        <w:rPr>
          <w:b/>
        </w:rPr>
        <w:t xml:space="preserve">Quelle: </w:t>
      </w:r>
      <w:r>
        <w:t>https://mcp.opencaselaw.ch/entscheid/bger_5A_826_2012</w:t>
      </w:r>
    </w:p>
    <w:p>
      <w:r>
        <w:t>FR: TF 5A_826/2012 du 5 décembre 2012</w:t>
      </w:r>
    </w:p>
    <w:p>
      <w:r>
        <w:t>IT: TF 5A_826/2012 del 5 dicembre 2012</w:t>
      </w:r>
    </w:p>
    <w:p>
      <w:pPr>
        <w:pStyle w:val="Heading2"/>
      </w:pPr>
      <w:r>
        <w:t>Erwägungen</w:t>
      </w:r>
    </w:p>
    <w:p>
      <w:r>
        <w:rPr>
          <w:b/>
        </w:rPr>
        <w:t>E. 1.1</w:t>
      </w:r>
    </w:p>
    <w:p>
      <w:r>
        <w:t>Angefochten ist ein letztinstanzlicher Endentscheid ( Art. 75 Abs. 1 und Art. 90 BGG ) betreffend fürsorgerische Freiheitsentziehung und damit ein öffentlich-rechtlicher Entscheid in engem Zusammenhang mit dem Zivilrecht, der grundsätzlich der Beschwerde in Zivilsachen unterliegt (Art. 72 Abs. 2 lit. b Ziff. 6 BGG). Die beanstandeten Regelungen der Gerichts- und Parteikosten sind Teil des Endentscheides in der Sache und können somit ungeachtet ihres Streitwertes mit dem gleichen Rechtsmittel wie der Sachentscheid angefochten werden ( BGE 137 III 47 ).</w:t>
      </w:r>
    </w:p>
    <w:p>
      <w:r>
        <w:rPr>
          <w:b/>
        </w:rPr>
        <w:t>E. 1.2</w:t>
      </w:r>
    </w:p>
    <w:p>
      <w:r>
        <w:t>Obwohl die Entlassung der Beschwerdeführerin aus der Anstalt angeordnet worden ist, hat ihr das Verwaltungsgericht - entgegen der Praxis anderer Kantone - einen Teil der Gerichtskosten auferlegt und ihre Entschädigung für das verwaltungsgerichtliche Verfahren gekürzt. Damit aber verfügt die Beschwerdeführerin trotz erfolgter Entlassung über ein aktuelles schützenswertes Interesse an der Behandlung der Beschwerde ( Art. 76 Abs. 1 lit. b BGG ). Daran ändert nichts, dass der Beschwerdeführerin im kantonalen Verfahren die unentgeltliche Rechtspflege gewährt worden ist: Die Vormerkung der Gerichtskosten und die Auszahlung der Parteikosten durch den Staat erfolgten unter dem ausdrücklichen Vorbehalt späterer Rückforderung.</w:t>
      </w:r>
    </w:p>
    <w:p>
      <w:r>
        <w:rPr>
          <w:b/>
        </w:rPr>
        <w:t>E. 1.3</w:t>
      </w:r>
    </w:p>
    <w:p>
      <w:r>
        <w:t>Die Beschwerdeführerin ersucht zusätzlich um Feststellung der Unrechtmässigkeit der fürsorgerischen Freiheitsentziehung. Feststellungsbegehren sind vor Bundesgericht zulässig, wenn das schutzwürdige Interesse nicht ebenso gut mit einem Leistungsbegehren bzw. rechtsgestaltenden Antrag gewahrt werden kann ( BGE 123 III 49 E. 1a S. 51; 126 II 300 E. 2c S. 303). Die Beschwerdeführerin verlangt zur Hauptsache, dass ihre keine Gerichtskosten überbunden und eine volle Parteientschädigung zugesprochen werden. Inwiefern ihr schützwürdiges Interesse mit den genannten Leistungsbegehren bzw. Unterlassungsbegehren nicht gewahrt wird, unterlässt sie indes auszuführen. Auf das Feststellungsbegehren ist nicht einzutreten.</w:t>
      </w:r>
    </w:p>
    <w:p>
      <w:r>
        <w:rPr>
          <w:b/>
        </w:rPr>
        <w:t>E. 1.4</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Die Begründung muss in der Beschwerdeschrift selbst enthalten sein; auf blosse Verweise auf andere Rechtsschriften ist nicht einzutreten ( BGE 116 II 92 E. 2 S. 93 f.; BGE 126 III 198 E. 1d S. 201; 131 III 384 E. 2.3 S. 387 f.; zur Weitergeltung dieser Rechtsprechung für die Beschwerde in Zivilsachen vgl. Urteile 4A_115/2007, E. 2.1; 4A_137/2007, E. 4). Verfassungsverletzungen werden nur geprüft, wenn sie gerügt und gehörig begründet werden ( Art. 106 Abs. 2 BGG ; BGE 133 IV 286 E. 1.4 S. 287 ; 134 I 83 E. 3.2. S. 88 mit Hinweisen). Die Beschwerde vermag diesen Anforderungen über weite Strecken nicht zu genügen. Insoweit ist darauf nicht einzutreten.</w:t>
      </w:r>
    </w:p>
    <w:p>
      <w:r>
        <w:rPr>
          <w:b/>
        </w:rPr>
        <w:t>E. 2</w:t>
      </w:r>
    </w:p>
    <w:p>
      <w:r>
        <w:t>Infolge der Entlassung der Beschwerdeführerin aus der fürsorgerischen Freiheitsentziehung ist die Beschwerde auf die Kosten- und Entschädigungsregelung beschränkt, die sich gemäss den Ausführungen der Vorinstanz nach § 31 Abs. 2 bzw. § 34 Abs. 1 und 2 des aargauischen Gesetzes über die Verwaltungsrechtspflege vom 4. Dezember 2007 (VRPG; SAR 271.200) richtet. Ist somit einzig die Anwendung kantonalen Rechts und nicht die Rechtmässigkeit der fürsorgerischen Freiheitsentziehung als solche streitig, drängt es sich auf, die Voraussetzungen der fürsorgerischen Freiheitsentziehung nicht frei, sondern nur unter dem Gesichtswinkel der Willkür zu prüfen (zum Willkürbegriff: BGE 138 I 49 E. 7.1 S. 51 ; 137 I 1 E. 2.4 S. 5).</w:t>
      </w:r>
    </w:p>
    <w:p>
      <w:r>
        <w:rPr>
          <w:b/>
        </w:rPr>
        <w:t>E. 3</w:t>
      </w:r>
    </w:p>
    <w:p>
      <w:r>
        <w:t>Das Verwaltungsgericht hat in einem ersten Schritt die Einweisung der Beschwerdeführerin als mit Art. 397a Abs. 1 ZGB vereinbar betrachtet. In einem zweiten Schritt hat es abgeklärt, ob die Zurückbehaltung in der Klinik im Lichte von Art. 397a Abs. 3 ZGB weiterhin aufrecht erhalten werden kann. Aufgrund dieser Prüfung hat es die Entlassung der Beschwerdeführerin angeordnet und wegen der Rechtmässigkeit der Einweisung die hier angefochtene Kosten- und Entschädigungsregelung getroffen. Strittig ist vorliegend, ob die Beschwerdeführerin anlässlich ihrer amtsärztlichen Einweisung in die Psychiatrische Klinik A.________ die Voraussetzungen von Art. 397a Abs. 1 ZGB erfüllte und ihr deshalb zu Recht ein Teil der Verfahrens- und Parteikosten auferlegt worden sind.</w:t>
      </w:r>
    </w:p>
    <w:p>
      <w:r>
        <w:t>Die Einweisung bzw. die Zurückbehaltung in einer Anstalt gestützt auf Art. 397a Abs. 1 ZGB erfordert, dass die betroffene Person infolge der im Gesetz umschriebenen Schwächezustände persönlicher Fürsorge bedarf, die ihr nur in einer Anstalt gewährt werden kann ( BGE 114 II 213 E. 5; siehe zum Ganzen: BGE 134 III 289 E. 4).</w:t>
      </w:r>
    </w:p>
    <w:p>
      <w:r>
        <w:rPr>
          <w:b/>
        </w:rPr>
        <w:t>E. 4</w:t>
      </w:r>
    </w:p>
    <w:p>
      <w:r>
        <w:t>Das Verwaltungsgericht ist aufgrund der Akten und der ärztlichen Befunde von einer psychischen Erkrankung in Form einer wahnhaften Störung ausgegangen und hat damit einen Schwächezustand im Sinn von Art. 397a Abs. 1 ZGB bejaht. Die Beschwerdeführerin bringt weder gegen die tatsächlichen Feststellungen des Verwaltungsgerichts noch dessen Schluss auf einen gesetzlichen Schwächezustand etwas vor, was den Entscheid der Vorinstanz insoweit als willkürlich erscheinen liesse.</w:t>
      </w:r>
    </w:p>
    <w:p>
      <w:r>
        <w:rPr>
          <w:b/>
        </w:rPr>
        <w:t>E. 5</w:t>
      </w:r>
    </w:p>
    <w:p>
      <w:r>
        <w:t>Im Zusammenhang mit dem gesetzlich erforderlichen Bedarf an Fürsorge ist wesentlich, dass der Amtsarzt gemäss der Einweisungsverfügung in der Beschwerdeführerin eine Person vorfand, die in einem fort vor sich hinredete (Redeschwall). Erwähnt werden im Weiteren Perseverationen sowie eine Fixierung auf ihr geschehendes Unrecht. Dem Amtsarzt lag aber auch die an das BKA gerichtete E-Mail der Beschwerdeführerin vom 7. August 2012 vor (vgl. Sachverhalt A), aus dessen im Sachverhalt wiedergegebenen Auszug sich klar eine Suizidabsicht der Beschwerdeführerin ergibt; im Weiteren droht sie darin mit der Ermordung anderer Menschen. Aufgrund dieser tatsächlichen Ausgangslage durfte die Vorinstanz entgegen der Auffassung der Beschwerdeführerin eine konkrete Selbstgefährdung sowie einen Fürsorgebedarf in Form der Stabilisierung des bestehenden Gesundheitszustandes und der Behandlung der festgestellten Krankheit annehmen. Es lag eine akute Situation vor, die den Arzt zum Handeln drängte. Bei der geschilderten Sachverhaltslage ist die Einweisung der Beschwerdeführerin nicht willkürlich.</w:t>
      </w:r>
    </w:p>
    <w:p>
      <w:r>
        <w:rPr>
          <w:b/>
        </w:rPr>
        <w:t>E. 6</w:t>
      </w:r>
    </w:p>
    <w:p>
      <w:r>
        <w:t>Ist die Einweisung gestützt auf Art. 397a Abs. 1 ZGB unter dem Aspekt der Willkür nicht zu beanstanden, so erweist sich die angefochtene Kosten- und Entschädigungsregelung als haltbar und damit nicht willkürlich, zumal die Beschwerdeführerin in diesem Zusammenhang nicht substanziiert behauptet, kantonales Verwaltungsverfahrensrecht sei willkürlich angewendet worden.</w:t>
      </w:r>
    </w:p>
    <w:p>
      <w:r>
        <w:rPr>
          <w:b/>
        </w:rPr>
        <w:t>E. 7</w:t>
      </w:r>
    </w:p>
    <w:p>
      <w:r>
        <w:t>Damit ist die Beschwerde abzuweisen, soweit darauf eingetreten werden kann. Bei diesem Ausgang des Verfahrens wird die Beschwerdeführerin kostenpflichtig ( Art. 66 Abs. 1 BGG ).</w:t>
      </w:r>
    </w:p>
    <w:p>
      <w:r>
        <w:rPr>
          <w:b/>
        </w:rPr>
        <w:t>E. 8</w:t>
      </w:r>
    </w:p>
    <w:p>
      <w:r>
        <w:t>Das Gesuch der Beschwerdeführerin um unentgeltliche Rechtspflege für das bundesgerichtliche Verfahren ist abzuweisen, da sich die Beschwerde als von Anfang an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