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5A_825/2023 vom 28. November 2023</w:t>
      </w:r>
    </w:p>
    <w:p>
      <w:r>
        <w:t>Bundesgericht, 2023-11-28, IT</w:t>
      </w:r>
    </w:p>
    <w:p>
      <w:r>
        <w:rPr>
          <w:b/>
        </w:rPr>
        <w:t xml:space="preserve">Quelle: </w:t>
      </w:r>
      <w:r>
        <w:t>https://mcp.opencaselaw.ch/entscheid/bger_5A_825_2023</w:t>
      </w:r>
    </w:p>
    <w:p>
      <w:r>
        <w:t>FR: TF 5A_825/2023 du 28 novembre 2023</w:t>
      </w:r>
    </w:p>
    <w:p>
      <w:r>
        <w:t>IT: TF 5A_825/2023 del 28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Mediante sentenza 25 settembre 2023 la Camera di esecuzione e fallimenti del Tribunale d'appello del Cantone Ticino ha riformato una decisione 30 gennaio 2023 del Pretore del Distretto di Lugano, accogliendo solo parzialmente un'azione della B.________ Limited di contestazione di una rivendicazione fatta valere da A.________ di alcuni beni oggetto di un sequestro diretto contro il marito C.________.</w:t>
      </w:r>
    </w:p>
    <w:p>
      <w:r>
        <w:t>A.________ ha impugnato tale sentenza cantonale dinanzi al Tribunale federale con ricorso in materia civile 30 ottobre 2023, chiedendo anche di concedere effetto sospensivo al suo gravame.</w:t>
      </w:r>
    </w:p>
    <w:p>
      <w:r>
        <w:t>L'opponente ha preso posizione su quest'ultima istanza con osservazioni 16 novembre 2023.</w:t>
      </w:r>
    </w:p>
    <w:p>
      <w:r>
        <w:t>Non sono state chieste determinazioni nel merito.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La ricorrente verserà all'opponente la somma di fr. 500.-- a titolo di ripetibili per la procedura innanzi al Tribunale federale.</w:t>
      </w:r>
    </w:p>
    <w:p>
      <w:r>
        <w:rPr>
          <w:b/>
        </w:rPr>
        <w:t>E. 4</w:t>
      </w:r>
    </w:p>
    <w:p>
      <w:r>
        <w:t>Comunicazione ai patrocinatori delle parti e alla Camera di esecuzione e fallimenti del Tribunale d'appello del Cantone Ticino.</w:t>
      </w:r>
    </w:p>
    <w:p>
      <w:r>
        <w:t>Losanna, 28 novembre 2023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