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5A_825/2012 vom 17. April 2013</w:t>
      </w:r>
    </w:p>
    <w:p>
      <w:r>
        <w:t>Bundesgericht, 2013-04-17, FR</w:t>
      </w:r>
    </w:p>
    <w:p>
      <w:r>
        <w:rPr>
          <w:b/>
        </w:rPr>
        <w:t xml:space="preserve">Quelle: </w:t>
      </w:r>
      <w:r>
        <w:t>https://mcp.opencaselaw.ch/entscheid/bger_5A_825_2012</w:t>
      </w:r>
    </w:p>
    <w:p>
      <w:r>
        <w:t>FR: TF 5A_825/2012 du 17 avril 2013</w:t>
      </w:r>
    </w:p>
    <w:p>
      <w:r>
        <w:t>IT: TF 5A_825/2012 del 17 aprile 2013</w:t>
      </w:r>
    </w:p>
    <w:p>
      <w:pPr>
        <w:pStyle w:val="Heading2"/>
      </w:pPr>
      <w:r>
        <w:t>Erwägungen</w:t>
      </w:r>
    </w:p>
    <w:p>
      <w:r>
        <w:rPr>
          <w:b/>
        </w:rPr>
        <w:t>E. 1</w:t>
      </w:r>
    </w:p>
    <w:p>
      <w:r>
        <w:t>La décision prononçant la mainlevée définitive de l'opposition est une décision finale au sens de l' art. 90 LTF puisqu'elle met fin à l'instance ( ATF 134 III 115 consid. 1.1 p. 117; 133 III 399 consid. 1.4 p. 400). Elle peut faire l'objet du recours en matière civile ( art. 72 al. 2 let. a LTF ; ATF 134 III 141 consid. 2 p. 143) lorsque la valeur litigieuse atteint, comme en l'espèce, le seuil minimal de 30'000 fr. ( art. 74 al. 1 let. b LTF ). Interjeté en temps utile ( art. 100 al. 1 LTF ) et dans la forme prévue par la loi ( art. 42 LTF ), par la partie qui a succombé en instance cantonale ( art. 76 al. 1 LTF ), à l'encontre d'une telle décision prise sur recours en dernière instance cantonale ( art. 75 al. 1 et 2 LTF ), la présente écriture est en principe recevable comme recours en matière civile. Il s'ensuit que le recours constitutionnel subsidiaire ne l'est pas ( art. 113 LTF ).</w:t>
      </w:r>
    </w:p>
    <w:p>
      <w:r>
        <w:rPr>
          <w:b/>
        </w:rPr>
        <w:t>E. 2</w:t>
      </w:r>
    </w:p>
    <w:p>
      <w:r>
        <w:t>Le recours en matière civile étant une voie de réforme ( art. 107 al. 2 LTF ), le recourant doit en principe prendre des conclusions sur le fond. Le Tribunal fédéral conserve néanmoins la faculté de renvoyer l'affaire à l'autorité précédente pour qu'elle rende une nouvelle décision, en particulier en cas de violation du droit d'être entendu (arrêts 5A_460/2012 du 14 septembre 2012 consid. 1.2; 5A_279/2010 du 24 juin 2010 consid. 2.2. et 3.3; cf. MEYER/DORMANN, in: Basler Kommentar, 2e éd., 2010, n° 13 ad art. 107 LTF et les citations).</w:t>
      </w:r>
    </w:p>
    <w:p>
      <w:r>
        <w:t>En l'espèce, le recourant, qui n'est pas assisté d'un mandataire, se plaint essentiellement d'une violation de son droit d'être entendu. C'est ainsi à bon droit qu'il conclut formellement à l'annulation de l'arrêt cantonal, la réforme se déduisant par ailleurs de son écriture. En revanche, le chef de conclusions tendant à l'annulation de la décision du Président du Tribunal civil de la Gruyère est irrecevable, le recours en matière civile n'étant ouvert que contre une décision de dernière instance cantonale prise sur recours ( art. 75 LTF ).</w:t>
      </w:r>
    </w:p>
    <w:p>
      <w:r>
        <w:rPr>
          <w:b/>
        </w:rPr>
        <w:t>E. 3</w:t>
      </w:r>
    </w:p>
    <w:p>
      <w:r>
        <w:t>Le recourant se plaint d'une violation de son droit d'être entendu au sens des art. 29 Cst. et 6 CEDH, plus précisément de son droit "de prendre connaissance de toute pièce ou observation présentée au juge et de la discuter". Il reproche à la Cour d'appel civil du Tribunal cantonal fribourgeois de lui avoir "dénié ce droit" en considérant que le Président du Tribunal civil de la Gruyère n'avait pas violé son droit d'être entendu en ne lui communiquant pas la requête de radiation du 1er juin 2012 de la poursuite no 1 que la créancière avait transmise, en copie, à ce magistrat.</w:t>
      </w:r>
    </w:p>
    <w:p>
      <w:r>
        <w:rPr>
          <w:b/>
        </w:rPr>
        <w:t>E. 3.1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2.3.1; 133 I 100 consid. 4.5 p. 103 s; 133 I 270 consid. 3.1 p. 277; 135 I 187 consid. 2.2. p. 190; arrêt 1C_196/2011 du 11 juillet 2011 consid. 2.2 publié in SJ 2012 I p. 117; arrêt 5A_779/2010 du 1er avril 2011 consid. 2.2 publié à la FamPra.ch 2012 no 1 p. 1).</w:t>
      </w:r>
    </w:p>
    <w:p>
      <w:r>
        <w:rPr>
          <w:b/>
        </w:rPr>
        <w:t>E. 3.2</w:t>
      </w:r>
    </w:p>
    <w:p>
      <w:r>
        <w:t>En considérant que les questions liées au principe, à la validité ou à la date du retrait de la poursuite no 1 étaient sans pertinence aucune pour la solution du litige et que, partant, en ne communiquant pas la pièce y relative au débiteur poursuivi, le premier juge n'avait pas violé le droit d'être entendu de ce dernier, l'autorité cantonale a méconnu les principes susmentionnés. Cette conclusion ne conduit pas pour autant à l'admission du grief pour les motifs qui suivent.</w:t>
      </w:r>
    </w:p>
    <w:p>
      <w:r>
        <w:rPr>
          <w:b/>
        </w:rPr>
        <w:t>E. 3.3</w:t>
      </w:r>
    </w:p>
    <w:p>
      <w:r>
        <w:t>Le droit de prendre connaissance et de se déterminer sur les pièces du dossier est garanti sous réserve d'un abus de droit. La protection des droits fondamentaux ne doit pas être une protection théorique et abstraite, mais concrète et effective. Le droit de prendre connaissance et de se déterminer sur les pièces du dossier vise à garantir une procédure équitable, soit que les parties aient la possi-bilité de se déterminer de façon substantielle sur les allégations de la partie adverse (dans ce sens: ATF 138 I 154 consid. 2.8 p. 159/169 et les références).</w:t>
      </w:r>
    </w:p>
    <w:p>
      <w:r>
        <w:t>En l'espèce, la pièce dont le recourant se plaint qu'elle ne lui a pas été communiquée consiste, ainsi que le relevait la décision de mainlevée du 10 juillet 2012, en la copie que la créancière poursuivante a fait parvenir au tribunal de "sa demande à l'office des poursuites de la Gruyère de radier la poursuite no 1". Il ne s'agit là ni plus ni moins que du compte-rendu du contenu du document visé. Que le recourant ait eu ou non ce dernier devant les yeux n'aurait rien changé à sa possibilité de se déterminer. Son recours à la Cour d'appel montre d'ailleurs qu'il a pu s'exprimer de façon substantielle sur la portée de cette requête de radiation. Dans ces conditions, le recourant ne se prévaut manifestement pas de son droit de prendre connaissance et de se déterminer sur la pièce litigieuse pour défendre ses droits de partie. Il s'obstine à faire valoir une formalité vaine (cf. ARTHUR HAEFLIGER, Alle Schweizer sind vor dem Gesetze gleich, 1985, p. 146 in fine). Un tel comportement ne mérite aucune protection (cf. ATF 138 précité).</w:t>
      </w:r>
    </w:p>
    <w:p>
      <w:r>
        <w:rPr>
          <w:b/>
        </w:rPr>
        <w:t>E. 4</w:t>
      </w:r>
    </w:p>
    <w:p>
      <w:r>
        <w:t>Au fond, autant qu'on puisse le comprendre, le recourant prétend péremptoirement que rien en l'état ne permet d'exclure l'existence d'une poursuite antérieure portant sur le même montant. Ce faisant, il se contente de reprendre l'argument qu'il avait soulevé dans son recours cantonal sans discuter, au moins succinctement, les considérations de la Cour d'appel déniant toute pertinence à cette question, motif pris que le risque invoqué par le poursuivi est de toute façon exclu, la créancière n'ayant pas requis la continuation de la première poursuite et n'étant plus en droit de le faire, le délai d'un an prévu par l' art. 88 al. 2 LP étant échu et le commandement de payer périmé. Faute de motivation suffisante, le recours est dès lors irre-cevable dans cette mesure ( art. 42 al. 2 LTF ; ATF 134 II 244 consid. 2.1 p. 245/246).</w:t>
      </w:r>
    </w:p>
    <w:p>
      <w:r>
        <w:rPr>
          <w:b/>
        </w:rPr>
        <w:t>E. 5</w:t>
      </w:r>
    </w:p>
    <w:p>
      <w:r>
        <w:t>Vu ce qui précède, le recours doit être rejeté dans la mesure où il est recevable. Le recourant, qui succombe, supportera les frais de la procédure ( art. 66 al. 1 LTF ). Il n'y a pas lieu d'allouer des dépens à l'intimée qui n'est pas représentée par un avocat et n'a pas fait état de dépenses particulières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