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5A_824/2021 vom 25. Januar 2022</w:t>
      </w:r>
    </w:p>
    <w:p>
      <w:r>
        <w:t>Bundesgericht, 2022-01-25, DE</w:t>
      </w:r>
    </w:p>
    <w:p>
      <w:r>
        <w:rPr>
          <w:b/>
        </w:rPr>
        <w:t xml:space="preserve">Quelle: </w:t>
      </w:r>
      <w:r>
        <w:t>https://mcp.opencaselaw.ch/entscheid/bger_5A_824_2021</w:t>
      </w:r>
    </w:p>
    <w:p>
      <w:r>
        <w:t>FR: TF 5A_824/2021 du 25 janvier 2022</w:t>
      </w:r>
    </w:p>
    <w:p>
      <w:r>
        <w:t>IT: TF 5A_824/2021 del 25 gennaio 2022</w:t>
      </w:r>
    </w:p>
    <w:p>
      <w:pPr>
        <w:pStyle w:val="Heading2"/>
      </w:pPr>
      <w:r>
        <w:t>Erwägungen</w:t>
      </w:r>
    </w:p>
    <w:p>
      <w:r>
        <w:rPr>
          <w:b/>
        </w:rPr>
        <w:t>E. 1</w:t>
      </w:r>
    </w:p>
    <w:p>
      <w:r>
        <w:t>Das Bundesgericht prüft von Amtes wegen und mit freier Kognition, ob ein Rechtsmittel zulässig ist ( Art. 29 Abs. 1 BGG ; BGE 145 II 168 E. 1; 144 II 184 E. 1).</w:t>
      </w:r>
    </w:p>
    <w:p>
      <w:r>
        <w:rPr>
          <w:b/>
        </w:rPr>
        <w:t>E. 2</w:t>
      </w:r>
    </w:p>
    <w:p>
      <w:r>
        <w:t>Das vorinstanzliche Urteil betrifft den vorläufigen Rechtsschutz im Persönlichkeitsrecht ( Art. 28 und Art. 28a Abs. 1 ZGB i.V.m. Art. 261 ff. ZPO ). Das ist eine Zivilsache ( Art. 72 Abs. 1 BGG ) nicht vermögensrechtlicher Natur (vgl. BGE 127 III 481 E. 1a). Die Vorinstanz ist ein oberes Gericht, das als letzte kantonale Instanz auf Rechtsmittel hin entschieden hat ( Art. 75 BGG ). Der angefochtene Entscheid heisst die Berufung der Beschwerdegegnerin gut, lautet insofern also zum Nachteil der Beschwerdeführerin ( Art. 76 Abs. 1 BGG ). Die Beschwerdefrist ist eingehalten (Art. 100 Abs. 1 i.V.m. Art. 45 Abs. 1 BGG ).</w:t>
      </w:r>
    </w:p>
    <w:p>
      <w:r>
        <w:rPr>
          <w:b/>
        </w:rPr>
        <w:t>E. 3</w:t>
      </w:r>
    </w:p>
    <w:p>
      <w:r>
        <w:t>Der angefochtene Entscheid beschlägt ein vorprozessual gestelltes Gesuch um vorsorgliche Massnahmen zum Schutz der Persönlichkeit.</w:t>
      </w:r>
    </w:p>
    <w:p>
      <w:r>
        <w:rPr>
          <w:b/>
        </w:rPr>
        <w:t>E. 3.1</w:t>
      </w:r>
    </w:p>
    <w:p>
      <w:r>
        <w:t>Entscheide über vorsorgliche Massnahmen gelten nur dann als Endentscheide im Sinne von Art. 90 BGG , wenn sie in einem eigenständigen Verfahren ergehen. Selbständig eröffnete Massnahmeentscheide, die vor oder während eines Hauptverfahrens erlassen werden und nur für die Dauer des Hauptverfahrens bzw. nur unter der Bedingung Bestand haben, dass ein Hauptverfahren eingeleitet wird, stellen Zwischenentscheide im Sinne von Art. 93 BGG dar ( BGE 144 III 475 E. 1.1.1; 138 III 76 E. 1.2; 137 III 324 E. 1.1; zum vorsorglichen Persönlichkeitsschutz Urteil 5A_373/2012 vom 11. Juli 2012 E. 2.1). Dies gilt auch dann, wenn das Massnahmegesuch - wie hier von der Berufungsinstanz - abgewiesen wird (Urteil 5A_84/2018 vom 8. November 2018 E. 1.2 mit Hinweisen). Der angefochtene Massnahmeentscheid ist somit ein Zwischenentscheid. Er unterliegt dem in der Hauptsache zulässigen Rechtsmittel (vgl. BGE 137 III 261 E. 1.4) und damit der Beschwerde gemäss Art. 72 ff. (s. oben E. 2).</w:t>
      </w:r>
    </w:p>
    <w:p>
      <w:r>
        <w:rPr>
          <w:b/>
        </w:rPr>
        <w:t>E. 3.2</w:t>
      </w:r>
    </w:p>
    <w:p>
      <w:r>
        <w:t>Abgesehen vom hier nicht einschlägigen Art. 92 BGG betreffend Vor- und Zwischenentscheide über die Zuständigkeit und den Ausstand kann ein selbständig eröffneter Vor- und Zwischenentscheid nur unter den Voraussetzungen von Art. 93 Abs. 1 Bst. a und b BGG angefochten werden. Vorliegend fällt nur die Variante gemäss Buchstabe a in Betracht (vgl. BGE 134 I 83 E. 3.1). Demnach ist die Beschwerde nur zulässig, wenn der Zwischenentscheid einen nicht wieder gutzumachenden Nachteil bewirken kann (s. dazu BGE 141 III 395 E. 2.5; 138 III 333 E. 1.3.1; 137 III 380 E. 1.2.1, 522 E. 1.3). Nach der Rechtsprechung obliegt es der Beschwerde führenden Partei darzutun, dass eine der beiden Voraussetzungen nach Art. 93 Abs. 1 BGG erfüllt ist ( BGE 137 III 324 E. 1.1; 134 III 426 E. 1.2), es sei denn, deren Vorliegen springe geradezu in die Augen ( BGE 141 III 80 E. 1.2; 138 III 46 E. 1.2). Äussert sich die Beschwerde führende Partei aber überhaupt nicht dazu, weshalb ein selbständig anfechtbarer Zwischenentscheid im Sinne von Art. 93 Abs. 1 BGG vorliegt, übersieht sie mithin diese Eintretensfrage schlechthin, so kann das Bundesgericht mangels hinreichender Begründung nicht auf die Beschwerde eintreten (Urteile 5A_715/2020 vom 28. September 2020 E 3.2; 5A_70/2020 vom 18. Juni 2020 E. 3.2; 4A_203/2019 vom 11. Mai 2020 E. 1.3.1, nicht publ. in: BGE 146 III 254 ; 5D_111/2015 vom 6. Oktober 2015 E. 2.2; 5A_620/2011 vom 16. November 2011 E. 3.2; 4A_250/2007 vom 12. September 2007 E. 2.1; vgl. zur Rechtsprechung unter der Herrschaft des OG BGE 118 II 91 E. 1a).</w:t>
      </w:r>
    </w:p>
    <w:p>
      <w:r>
        <w:rPr>
          <w:b/>
        </w:rPr>
        <w:t>E. 3.3</w:t>
      </w:r>
    </w:p>
    <w:p>
      <w:r>
        <w:t>Die Beschwerdeführerin äussert sich in ihrem Schriftsatz zu verschiedenen Voraussetzungen, von denen die Zulässigkeit ihrer Beschwerde an das Bundesgericht abhängt (vgl. oben E. 2). Sie verliert jedoch kein Wort darüber, inwiefern der angefochtene Entscheid einen nicht wieder gutzumachenden Nachteil bewirken könne. Bloss zu behaupten, das Bundesgericht sei zur Beurteilung dieser Beschwerde zuständig, und hierzu pauschal auf Art. 72 ff. und Art. 90 ff. BGG zu verweisen, genügt nicht. Dementsprechend kann das Bundesgericht nicht auf die Beschwerde eintreten.</w:t>
      </w:r>
    </w:p>
    <w:p>
      <w:r>
        <w:rPr>
          <w:b/>
        </w:rPr>
        <w:t>E. 4</w:t>
      </w:r>
    </w:p>
    <w:p>
      <w:r>
        <w:t>Bei diesem Ausgang des Verfahrens wird das Begehren der Beschwerdeführerin, der Beschwerdegegnerin die Beschwerdebeilagen 59a-c und 60a-b nicht offenzulegen (s. Sachverhalt Bst. C.a), gegenstandslos. Im Übrigen hat die Beschwerdeführerin als unterliegende Partei die Gerichtskosten zu tragen ( Art. 66 Abs. 1 Satz 1 BGG ). Der Beschwerdegegnerin, die sich lediglich zum Gesuch um aufschiebende Wirkung zu vernehmen hatte, mit ihren dort gestellten Anträgen aber nicht durchdrang,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